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Данная концепция была подготовлена в рамках реализации федеральной целевой программы "Электронная Россия (2002-2010)" Высшей школой экономики, Институтом экономики переходного периода, Фондом экономических исследований "Новая экономика", "АНО Информационно-консультационный центр "Бизнес-Тезаурус" по заказу Минэкономразвития России.</w:t>
      </w:r>
    </w:p>
    <w:p w:rsidR="007E68D9" w:rsidRPr="007E68D9" w:rsidRDefault="007E68D9" w:rsidP="007E68D9">
      <w:pPr>
        <w:spacing w:before="100" w:beforeAutospacing="1" w:after="100" w:afterAutospacing="1"/>
        <w:jc w:val="center"/>
        <w:rPr>
          <w:rFonts w:ascii="Times New Roman" w:eastAsia="Times New Roman" w:hAnsi="Times New Roman" w:cs="Times New Roman"/>
          <w:sz w:val="24"/>
          <w:szCs w:val="24"/>
          <w:lang w:eastAsia="ru-RU"/>
        </w:rPr>
      </w:pPr>
      <w:r w:rsidRPr="007E68D9">
        <w:rPr>
          <w:rFonts w:ascii="Times New Roman" w:eastAsia="Times New Roman" w:hAnsi="Times New Roman" w:cs="Times New Roman"/>
          <w:b/>
          <w:bCs/>
          <w:sz w:val="24"/>
          <w:szCs w:val="24"/>
          <w:lang w:eastAsia="ru-RU"/>
        </w:rPr>
        <w:t>СОДЕРЖАНИЕ</w:t>
      </w:r>
    </w:p>
    <w:p w:rsidR="007E68D9" w:rsidRPr="007E68D9" w:rsidRDefault="007E68D9" w:rsidP="007E68D9">
      <w:pPr>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I. Общие положения </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II. Цели и принципы правового регулирования применения сектора ИКТ в РФ</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III. Существующее правовое регулирование применения ИКТ в России</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III.1. Общая ситуация, сложившаяся в законодательстве о применении ИКТ.</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III.2. Регулирование отношений в области информационного взаимодействия</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III.3. Регулирование рынка телекоммуникационных и информационных услуг</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III.4. Регулирование оборота интеллектуальной собственности</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III.5. Регулирование оборота средств защиты информации</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III.6. Регулирование электронной коммерции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b/>
          <w:bCs/>
          <w:sz w:val="24"/>
          <w:szCs w:val="24"/>
          <w:lang w:eastAsia="ru-RU"/>
        </w:rPr>
        <w:t>IV. Стратегия правового регулирования ИКТ сектора</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IV.1. Система правового регулирования ИКТ сектора</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IV.2. Общие вопросы</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i/>
          <w:iCs/>
          <w:sz w:val="24"/>
          <w:szCs w:val="24"/>
          <w:lang w:eastAsia="ru-RU"/>
        </w:rPr>
        <w:t>IV.2.1. Обеспечение прав граждан и организаций</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i/>
          <w:iCs/>
          <w:sz w:val="24"/>
          <w:szCs w:val="24"/>
          <w:lang w:eastAsia="ru-RU"/>
        </w:rPr>
        <w:t>IV.2.2. Межведомственный координирующий орган</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i/>
          <w:iCs/>
          <w:sz w:val="24"/>
          <w:szCs w:val="24"/>
          <w:lang w:eastAsia="ru-RU"/>
        </w:rPr>
        <w:t xml:space="preserve">IV.2.3. Механизмы саморегулирования </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i/>
          <w:iCs/>
          <w:sz w:val="24"/>
          <w:szCs w:val="24"/>
          <w:lang w:eastAsia="ru-RU"/>
        </w:rPr>
        <w:t xml:space="preserve">IV.2.4. Механизмы разрешения споров </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i/>
          <w:iCs/>
          <w:sz w:val="24"/>
          <w:szCs w:val="24"/>
          <w:lang w:eastAsia="ru-RU"/>
        </w:rPr>
        <w:t xml:space="preserve">IV.2.5. Система предварительного контроля </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i/>
          <w:iCs/>
          <w:sz w:val="24"/>
          <w:szCs w:val="24"/>
          <w:lang w:eastAsia="ru-RU"/>
        </w:rPr>
        <w:t xml:space="preserve">IV.2.6. Интеграция в мировое информационное пространство </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IV.3. Информационное взаимодействие</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IV.4. Телекоммуникационные и информационные услуги</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IV.5. Интеллектуальная собственность</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IV.6. Защита информации</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IV.7. Электронная коммерция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b/>
          <w:bCs/>
          <w:sz w:val="24"/>
          <w:szCs w:val="24"/>
          <w:lang w:eastAsia="ru-RU"/>
        </w:rPr>
        <w:t>V. Прочие средства развития сектора ИКТ</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V.1. Исследования законодательства и практики</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V.2. Методики и рекомендации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b/>
          <w:bCs/>
          <w:sz w:val="24"/>
          <w:szCs w:val="24"/>
          <w:lang w:eastAsia="ru-RU"/>
        </w:rPr>
        <w:t>Программа законодательной деятельности</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1. Изменения в законопроектах, рассматриваемых Государственной Думой</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2. Первоочередные изменения в действующем законодательстве.</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 Изменения в законодательстве, осуществляемые до 2006 года.</w:t>
      </w:r>
    </w:p>
    <w:p w:rsidR="007E68D9" w:rsidRPr="007E68D9" w:rsidRDefault="007E68D9" w:rsidP="007E68D9">
      <w:pPr>
        <w:spacing w:before="100" w:beforeAutospacing="1" w:after="100" w:afterAutospacing="1"/>
        <w:ind w:left="720"/>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 Дальнейшее развитие законодательства.</w:t>
      </w:r>
    </w:p>
    <w:p w:rsidR="007E68D9" w:rsidRPr="007E68D9" w:rsidRDefault="007E68D9" w:rsidP="007E68D9">
      <w:pPr>
        <w:spacing w:before="100" w:beforeAutospacing="1" w:after="100" w:afterAutospacing="1"/>
        <w:jc w:val="left"/>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I. Общие положения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1.1. Настоящая Концепция предусматривает систему мер по государственному регулированию сферы общественных отношений, непосредственно связанной с созданием, внедрением и активным использованием информационных и коммуникационных технологий (</w:t>
      </w:r>
      <w:r w:rsidRPr="007E68D9">
        <w:rPr>
          <w:rFonts w:ascii="Times New Roman" w:eastAsia="Times New Roman" w:hAnsi="Times New Roman" w:cs="Times New Roman"/>
          <w:b/>
          <w:bCs/>
          <w:sz w:val="24"/>
          <w:szCs w:val="24"/>
          <w:lang w:eastAsia="ru-RU"/>
        </w:rPr>
        <w:t>ИКТ сектора</w:t>
      </w:r>
      <w:r w:rsidRPr="007E68D9">
        <w:rPr>
          <w:rFonts w:ascii="Times New Roman" w:eastAsia="Times New Roman" w:hAnsi="Times New Roman" w:cs="Times New Roman"/>
          <w:sz w:val="24"/>
          <w:szCs w:val="24"/>
          <w:lang w:eastAsia="ru-RU"/>
        </w:rPr>
        <w:t>) в Российской Федерации. Обязательным условием эффективности государственной политики в секторе ИКТ является необходимость комплексной реализации предусмотренных Концепцией мер во всех областях общественных отношений, связанных с использованием ИКТ.</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1.2. В соответствии с положениями настоящей Концепции должна быть преобразована система методов государственного регулирования ИКТ сектора. Приоритетными должны стать методы текущего контроля, сфера применения мер предварительного контроля и ограничения доступа на рынки должна быть существенно сокращена.</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1.3. Все это позволит создать необходимые условия для реализации прав граждан и юридических лиц, развития и повышения конкурентоспособности отечественного сектора ИКТ, повысить эффективность системы государственного управления за счет оптимизации информационных процессов в государственных органах.</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1.4. Наряду с общими вопросами, касающимися сектора ИКТ в целом, необходимо выделить вопросы, имеющие значение для отдельных его отраслей:</w:t>
      </w:r>
    </w:p>
    <w:p w:rsidR="007E68D9" w:rsidRPr="007E68D9" w:rsidRDefault="007E68D9" w:rsidP="007E68D9">
      <w:pPr>
        <w:numPr>
          <w:ilvl w:val="0"/>
          <w:numId w:val="1"/>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Информационного взаимодействия государственных органов с гражданами и юридическими лицами, информационного взаимодействия государственных органов между собой. </w:t>
      </w:r>
    </w:p>
    <w:p w:rsidR="007E68D9" w:rsidRPr="007E68D9" w:rsidRDefault="007E68D9" w:rsidP="007E68D9">
      <w:pPr>
        <w:numPr>
          <w:ilvl w:val="0"/>
          <w:numId w:val="1"/>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Телекоммуникационного сектора </w:t>
      </w:r>
    </w:p>
    <w:p w:rsidR="007E68D9" w:rsidRPr="007E68D9" w:rsidRDefault="007E68D9" w:rsidP="007E68D9">
      <w:pPr>
        <w:numPr>
          <w:ilvl w:val="0"/>
          <w:numId w:val="1"/>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Оборота интеллектуальной собственности </w:t>
      </w:r>
    </w:p>
    <w:p w:rsidR="007E68D9" w:rsidRPr="007E68D9" w:rsidRDefault="007E68D9" w:rsidP="007E68D9">
      <w:pPr>
        <w:numPr>
          <w:ilvl w:val="0"/>
          <w:numId w:val="1"/>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Средств защиты информации и средств электронно-цифровой подписи (ЭЦП) </w:t>
      </w:r>
    </w:p>
    <w:p w:rsidR="007E68D9" w:rsidRPr="007E68D9" w:rsidRDefault="007E68D9" w:rsidP="007E68D9">
      <w:pPr>
        <w:numPr>
          <w:ilvl w:val="0"/>
          <w:numId w:val="1"/>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Электронной коммерции </w:t>
      </w:r>
    </w:p>
    <w:p w:rsidR="007E68D9" w:rsidRPr="007E68D9" w:rsidRDefault="007E68D9" w:rsidP="007E68D9">
      <w:pPr>
        <w:spacing w:before="100" w:beforeAutospacing="1" w:after="100" w:afterAutospacing="1"/>
        <w:jc w:val="left"/>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II. Цели и принципы правового регулирования применения сектора ИКТ в РФ</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2.1. Правовое регулирование применения ИКТ в соответствии с настоящей Концепцией направлено на достижение следующих целей:</w:t>
      </w:r>
    </w:p>
    <w:p w:rsidR="007E68D9" w:rsidRPr="007E68D9" w:rsidRDefault="007E68D9" w:rsidP="007E68D9">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обеспечения прав граждан и организаций на доступ к информации из государственных информационных ресурсов; </w:t>
      </w:r>
    </w:p>
    <w:p w:rsidR="007E68D9" w:rsidRPr="007E68D9" w:rsidRDefault="007E68D9" w:rsidP="007E68D9">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снижения количества барьеров и ограничений, основанных на несовершенстве системы информационного взаимодействия, в реализации законных прав гражданами и организациями; </w:t>
      </w:r>
    </w:p>
    <w:p w:rsidR="007E68D9" w:rsidRPr="007E68D9" w:rsidRDefault="007E68D9" w:rsidP="007E68D9">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снижение расходов государственного бюджета на содержание органов государственной власти без снижения эффективности осуществления органами государственной власти возложенных на них функций; </w:t>
      </w:r>
    </w:p>
    <w:p w:rsidR="007E68D9" w:rsidRPr="007E68D9" w:rsidRDefault="007E68D9" w:rsidP="007E68D9">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развитие областей российской экономики, непосредственно связанных с разработкой, применением и активным использованием информационных и коммуникационных технологий. </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2.2. Правовое регулирование применения ИКТ должно осуществляться в соответствии с устанавливаемой настоящей Концепцией системой принципов. Такая система включает в себя принципы регулирования ИКТ сектора в целом и принципы регулирования отдельных отраслей, входящих в ИКТ сектор.</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2.3. Общими принципами регулирования являются следующие:</w:t>
      </w:r>
    </w:p>
    <w:p w:rsidR="007E68D9" w:rsidRPr="007E68D9" w:rsidRDefault="007E68D9" w:rsidP="007E68D9">
      <w:pPr>
        <w:numPr>
          <w:ilvl w:val="0"/>
          <w:numId w:val="3"/>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адекватности мер государственного регулирования. Государство должно принимать только те регулятивные меры, которые необходимы для разрешения сложившихся в секторе ИКТ проблем. Принимаемые государством меры должны быть достаточными для того, чтобы разрешить сложившиеся проблемы и создать механизм реализации прав и законных интересов участников ИКТ сектора. </w:t>
      </w:r>
    </w:p>
    <w:p w:rsidR="007E68D9" w:rsidRPr="007E68D9" w:rsidRDefault="007E68D9" w:rsidP="007E68D9">
      <w:pPr>
        <w:numPr>
          <w:ilvl w:val="0"/>
          <w:numId w:val="3"/>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устранения избыточных административных барьеров. Меры прямого государственного регулирования могут вводиться только в целях защиты важнейших интересов общества и государства, жизни, здоровья и имущества граждан. Приоритет должен отдаваться мерам текущего контроля за деятельностью участников рынка перед мерами, ограничивающими доступ на рынок новых участников. </w:t>
      </w:r>
    </w:p>
    <w:p w:rsidR="007E68D9" w:rsidRPr="007E68D9" w:rsidRDefault="007E68D9" w:rsidP="007E68D9">
      <w:pPr>
        <w:numPr>
          <w:ilvl w:val="0"/>
          <w:numId w:val="3"/>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приоритетного использования диспозитивных методов государственного регулирования в секторе ИКТ. Императивные правовые нормы, устанавливающие правила поведения участников ИКТ сектора, могут применяться только для защиты важнейших прав и законных интересов личности, общества и государства. Приоритет должен отдаваться диспозитивным методам регулирования отношений в секторе ИКТ, допускающим свободный выбор участниками форм и способов реализации своих прав и обязанностей и осуществление таких прав и обязанностей собственными инициативными действиями участников ИКТ сектора. </w:t>
      </w:r>
    </w:p>
    <w:p w:rsidR="007E68D9" w:rsidRPr="007E68D9" w:rsidRDefault="007E68D9" w:rsidP="007E68D9">
      <w:pPr>
        <w:numPr>
          <w:ilvl w:val="0"/>
          <w:numId w:val="3"/>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гарантированности прав граждан и юридических лиц. Государственное регулирование отношений в секторе ИКТ должно основываться на системе организационно-правовых и материальных гарантий, создающих механизм реализации установленных в законе прав граждан и юридических лиц. Создание и поддержание эффективного функционирования системы подобных гарантий должно являться основной задачей деятельности государственных органов. Государственные органы и должностные лица должны нести ответственность в случае непринятия установленных в законодательстве мер, направленных на реализацию прав граждан и юридических лиц. </w:t>
      </w:r>
    </w:p>
    <w:p w:rsidR="007E68D9" w:rsidRPr="007E68D9" w:rsidRDefault="007E68D9" w:rsidP="007E68D9">
      <w:pPr>
        <w:numPr>
          <w:ilvl w:val="0"/>
          <w:numId w:val="3"/>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совместимости с мировым информационным пространством. Развитие нормативного регулирования применения ИКТ технологий должно быть </w:t>
      </w:r>
      <w:r w:rsidRPr="007E68D9">
        <w:rPr>
          <w:rFonts w:ascii="Times New Roman" w:eastAsia="Times New Roman" w:hAnsi="Times New Roman" w:cs="Times New Roman"/>
          <w:sz w:val="24"/>
          <w:szCs w:val="24"/>
          <w:lang w:eastAsia="ru-RU"/>
        </w:rPr>
        <w:lastRenderedPageBreak/>
        <w:t xml:space="preserve">направлено на интеграцию с международным информационным пространством, приведение российского сектора ИКТ в соответствие со сложившимися в зарубежной практике подходами. Для этого необходима технологическая и правовая совместимость с зарубежными странами в области ИКТ. </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2.4. Государственное регулирование </w:t>
      </w:r>
      <w:r w:rsidRPr="007E68D9">
        <w:rPr>
          <w:rFonts w:ascii="Times New Roman" w:eastAsia="Times New Roman" w:hAnsi="Times New Roman" w:cs="Times New Roman"/>
          <w:b/>
          <w:bCs/>
          <w:sz w:val="24"/>
          <w:szCs w:val="24"/>
          <w:lang w:eastAsia="ru-RU"/>
        </w:rPr>
        <w:t>информационного взаимодействия</w:t>
      </w:r>
      <w:r w:rsidRPr="007E68D9">
        <w:rPr>
          <w:rFonts w:ascii="Times New Roman" w:eastAsia="Times New Roman" w:hAnsi="Times New Roman" w:cs="Times New Roman"/>
          <w:sz w:val="24"/>
          <w:szCs w:val="24"/>
          <w:lang w:eastAsia="ru-RU"/>
        </w:rPr>
        <w:t xml:space="preserve"> должно основываться на следующих отраслевых принципах:</w:t>
      </w:r>
    </w:p>
    <w:p w:rsidR="007E68D9" w:rsidRPr="007E68D9" w:rsidRDefault="007E68D9" w:rsidP="007E68D9">
      <w:pPr>
        <w:numPr>
          <w:ilvl w:val="0"/>
          <w:numId w:val="4"/>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реальной доступности информации. Основной гарантией соблюдения информационных прав граждан и организаций является законодательно установленная презумпция открытости информации, содержащейся в государственных информационных ресурсах. Однако информация, которая в соответствии с законодательством является открытой, должна быть фактически доступна. Органы государственной власти должны в обязательном порядке поддерживать собственные информационные ресурсы в актуальном состоянии, расширять возможности доступа к открытым государственным информационным ресурсам (в т.ч. и по телекоммуникационным сетям). Не может взиматься плата за предоставление открытой информации из общедоступных государственных информационных ресурсов, прежде всего, из ресурсов, доступ к которым осуществляется по телекоммуникационным сетям. Политика государства в этой области должна быть направлена на увеличение объема общедоступных информационных ресурсов и упрощения порядка получения информации из них. </w:t>
      </w:r>
    </w:p>
    <w:p w:rsidR="007E68D9" w:rsidRPr="007E68D9" w:rsidRDefault="007E68D9" w:rsidP="007E68D9">
      <w:pPr>
        <w:numPr>
          <w:ilvl w:val="0"/>
          <w:numId w:val="4"/>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сокращения количества транзакций. Структура информационных ресурсов и информационных процессов с государственными органами должна выстраиваться таким образом, чтобы минимизировать число транзакций, необходимых для реализации тех или иных информационных прав. Необходимо устранить дублирование функций государственных органов, дублирование создаваемых и поддерживаемых ими информационных ресурсов. </w:t>
      </w:r>
    </w:p>
    <w:p w:rsidR="007E68D9" w:rsidRPr="007E68D9" w:rsidRDefault="007E68D9" w:rsidP="007E68D9">
      <w:pPr>
        <w:numPr>
          <w:ilvl w:val="0"/>
          <w:numId w:val="4"/>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консолидации государственных информационных ресурсов. Государственные информационные ресурсы, как предназначенные для публичного доступа, так и создаваемые для собственных нужд отдельных органов, должны быть, с учетом режимов хранения информации и категории доступа, непосредственно доступны для всех государственных органов. Государственный орган, которому для принятия решений требуется определенная информация (в настоящее время она обычно требуется от заявителя), должен иметь доступ к этой информации, в т.ч. и к информации, содержащейся в информационных ресурсах других ведомств или территориальных отделений. Должна проводиться последовательная политика по устранению случаев дублирования информации в информационных ресурсах разных ведомств или территориальных отделений. </w:t>
      </w:r>
    </w:p>
    <w:p w:rsidR="007E68D9" w:rsidRPr="007E68D9" w:rsidRDefault="007E68D9" w:rsidP="007E68D9">
      <w:pPr>
        <w:numPr>
          <w:ilvl w:val="0"/>
          <w:numId w:val="4"/>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единообразия форм представления информации и стандартов ведения государственных информационных ресурсов. Принципы сокращения количества транзакций и гарантии открытости информации предполагают возможность легкого доступа к информации и простоты обмена информацией между различными информационными ресурсами. Это возможно только при условии строгой унификации государственных информационных ресурсов и стандартов вносимой в них информации. Для этого должны быть установлены общеобязательные стандарты форматов представления информации, используемых в информационном обмене с участием органов государственной власти и стандарты ведения информационных ресурсов государственными органами. Введение особых стандартов не допускается. </w:t>
      </w:r>
    </w:p>
    <w:p w:rsidR="007E68D9" w:rsidRPr="007E68D9" w:rsidRDefault="007E68D9" w:rsidP="007E68D9">
      <w:pPr>
        <w:numPr>
          <w:ilvl w:val="0"/>
          <w:numId w:val="4"/>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обеспечения сохранности и достоверности информации. Нормативные акты должны предусматривать порядок информационного взаимодействия, </w:t>
      </w:r>
      <w:r w:rsidRPr="007E68D9">
        <w:rPr>
          <w:rFonts w:ascii="Times New Roman" w:eastAsia="Times New Roman" w:hAnsi="Times New Roman" w:cs="Times New Roman"/>
          <w:sz w:val="24"/>
          <w:szCs w:val="24"/>
          <w:lang w:eastAsia="ru-RU"/>
        </w:rPr>
        <w:lastRenderedPageBreak/>
        <w:t xml:space="preserve">однозначно устанавливающий непротиворечивые и недискриминационные процедуры восстановления информации в случае ее утраты в одном из ресурсов, преодоления искажений информации, устранения коллизий между ресурсами. Юридически значимая информация, заносимая в государственный информационный ресурс, должна быть предварительно проверена лицом, к которому она относится. Законодательством может предусматриваться ряд случаев, когда информация может быть занесена в информационные ресурсы только с согласия лица, к которому она относится. </w:t>
      </w:r>
    </w:p>
    <w:p w:rsidR="007E68D9" w:rsidRPr="007E68D9" w:rsidRDefault="007E68D9" w:rsidP="007E68D9">
      <w:pPr>
        <w:numPr>
          <w:ilvl w:val="0"/>
          <w:numId w:val="4"/>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равноправия форм документов. Документ, представленный в электронной форме, не может быть лишен юридической силы только на том основании, что он составлен в электронной форме. Каждый документ, предусмотренный любым нормативным актом, должен сохранять юридическую силу при переводе из одной формы представления в другую. Должно быть исключено закрепление специального порядка перевода из одной формы представления в другую для отдельных типов документов. Лицам, предоставляющим документы в государственные органы, должна быть гарантирована возможность предоставлять документы на носителях, наиболее удобных для этих лиц. При этом государственный орган должен выдавать лицу документ на носителе, наиболее удобном для этого лица. Законодательно должно быть предусмотрено не менее двух форм предоставления документов – на бумажных носителях или в электронном (цифровом) виде. </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2.5. Отраслевыми принципами регулирования </w:t>
      </w:r>
      <w:r w:rsidRPr="007E68D9">
        <w:rPr>
          <w:rFonts w:ascii="Times New Roman" w:eastAsia="Times New Roman" w:hAnsi="Times New Roman" w:cs="Times New Roman"/>
          <w:b/>
          <w:bCs/>
          <w:sz w:val="24"/>
          <w:szCs w:val="24"/>
          <w:lang w:eastAsia="ru-RU"/>
        </w:rPr>
        <w:t>телекоммуникационного рынка</w:t>
      </w:r>
      <w:r w:rsidRPr="007E68D9">
        <w:rPr>
          <w:rFonts w:ascii="Times New Roman" w:eastAsia="Times New Roman" w:hAnsi="Times New Roman" w:cs="Times New Roman"/>
          <w:sz w:val="24"/>
          <w:szCs w:val="24"/>
          <w:lang w:eastAsia="ru-RU"/>
        </w:rPr>
        <w:t xml:space="preserve"> являются:</w:t>
      </w:r>
    </w:p>
    <w:p w:rsidR="007E68D9" w:rsidRPr="007E68D9" w:rsidRDefault="007E68D9" w:rsidP="007E68D9">
      <w:pPr>
        <w:numPr>
          <w:ilvl w:val="0"/>
          <w:numId w:val="5"/>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устранения неоправданных барьеров доступа на рынок новых участников. Меры, ограничивающие доступ на рынок новых участников, могут применяться только в том случае, если открытие рынка для свободного доступа невозможно в силу технических особенностей деятельности на данном рынке. Ограниченные ресурсы, с использованием которых связана деятельность на рынке, должны распределяться таким образом, чтобы они могли использоваться максимально возможным количеством участников. Запрещается ограничение доступа на рынок по мотивам нецелесообразности наличия на рынке множества участников. </w:t>
      </w:r>
    </w:p>
    <w:p w:rsidR="007E68D9" w:rsidRPr="007E68D9" w:rsidRDefault="007E68D9" w:rsidP="007E68D9">
      <w:pPr>
        <w:numPr>
          <w:ilvl w:val="0"/>
          <w:numId w:val="5"/>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единства телекоммуникационного пространства на всей территории РФ. Телекоммуникационная инфраструктура должна развиваться на основе единой системы федеральных стандартов, устанавливающих интерфейсы и протоколы, обеспечивающие сквозную совместимость телекоммуникационных сетей. Региональные стандарты, стандарты отраслей и отдельных производителей должны согласовываться между собой. Разработчики стандартов должны принимать меры к их публикации и гармонизации до введения стандартов в действие. Правила осуществления деятельности операторов связи и условия предоставления телекоммуникационных услуг не должны различаться в зависимости от региона, где они осуществляются. </w:t>
      </w:r>
    </w:p>
    <w:p w:rsidR="007E68D9" w:rsidRPr="007E68D9" w:rsidRDefault="007E68D9" w:rsidP="007E68D9">
      <w:pPr>
        <w:numPr>
          <w:ilvl w:val="0"/>
          <w:numId w:val="5"/>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разделения функций определения правил регулирования, разрешения споров и участия в коммерческой деятельности на рынке. Государственный орган, устанавливающий правила деятельности участников рынка, не должен осуществлять разрешение споров, связанных с этой деятельностью. Орган, разрешающий указанные споры, не должен быть подконтролен органу, установившему правила и контролирующему их исполнение. Организации, непосредственно занимающиеся коммерческой деятельностью на </w:t>
      </w:r>
      <w:r w:rsidRPr="007E68D9">
        <w:rPr>
          <w:rFonts w:ascii="Times New Roman" w:eastAsia="Times New Roman" w:hAnsi="Times New Roman" w:cs="Times New Roman"/>
          <w:sz w:val="24"/>
          <w:szCs w:val="24"/>
          <w:lang w:eastAsia="ru-RU"/>
        </w:rPr>
        <w:lastRenderedPageBreak/>
        <w:t xml:space="preserve">телекоммуникационных рынках, не могут осуществлять функции государственного регулирования и разрешения споров на этих рынках. </w:t>
      </w:r>
    </w:p>
    <w:p w:rsidR="007E68D9" w:rsidRPr="007E68D9" w:rsidRDefault="007E68D9" w:rsidP="007E68D9">
      <w:pPr>
        <w:numPr>
          <w:ilvl w:val="0"/>
          <w:numId w:val="5"/>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приоритетности мер по созданию условий для конкуренции перед мерами прямого государственного вмешательства в функционирование рынка. Основной задачей государственной политики в телекоммуникационном секторе должно стать создание условий для эффективного действия рыночных механизмов. Меры прямого государственного вмешательства в деятельность рынка могут приниматься только при серьезных сбоях конкурентных рыночных механизмов либо при серьезной монополизации того или иного сектора данного рынка. </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2.6. Правовое регулирование оборота объектов </w:t>
      </w:r>
      <w:r w:rsidRPr="007E68D9">
        <w:rPr>
          <w:rFonts w:ascii="Times New Roman" w:eastAsia="Times New Roman" w:hAnsi="Times New Roman" w:cs="Times New Roman"/>
          <w:b/>
          <w:bCs/>
          <w:sz w:val="24"/>
          <w:szCs w:val="24"/>
          <w:lang w:eastAsia="ru-RU"/>
        </w:rPr>
        <w:t>интеллектуальной собственности</w:t>
      </w:r>
      <w:r w:rsidRPr="007E68D9">
        <w:rPr>
          <w:rFonts w:ascii="Times New Roman" w:eastAsia="Times New Roman" w:hAnsi="Times New Roman" w:cs="Times New Roman"/>
          <w:sz w:val="24"/>
          <w:szCs w:val="24"/>
          <w:lang w:eastAsia="ru-RU"/>
        </w:rPr>
        <w:t xml:space="preserve"> должно основываться на следующих отраслевых принципах:</w:t>
      </w:r>
    </w:p>
    <w:p w:rsidR="007E68D9" w:rsidRPr="007E68D9" w:rsidRDefault="007E68D9" w:rsidP="007E68D9">
      <w:pPr>
        <w:numPr>
          <w:ilvl w:val="0"/>
          <w:numId w:val="6"/>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разграничения частно- и публично-правового регулирования вопросов доступа к информации и информационным ресурсам и вопросов исключительных прав на эти объекты. Вопросы, связанные с реализацией исключительных прав, подлежат регулированию нормами гражданского законодательства на основе частноправовых начал. Вопросы доступа к информации и информационным ресурсам, ограничения и защиты прав на включаемую в информационные ресурсы информацию подлежат регулированию средствами публичного права в целях защиты публичных интересов. </w:t>
      </w:r>
    </w:p>
    <w:p w:rsidR="007E68D9" w:rsidRPr="007E68D9" w:rsidRDefault="007E68D9" w:rsidP="007E68D9">
      <w:pPr>
        <w:numPr>
          <w:ilvl w:val="0"/>
          <w:numId w:val="6"/>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гармонизации национально-правового и международно-правового регулирования оборота объектов интеллектуальной собственности. Национальное законодательство об интеллектуальной собственности должно соответствовать всем новым подходам, вырабатываемым на уровне международных организаций с целью интеграции правового регулирования оборота объектов интеллектуальной собственности в различных странах. Права отечественных правообладателей и иностранных лиц должны пользоваться равной правовой защитой на взаимной основе. </w:t>
      </w:r>
    </w:p>
    <w:p w:rsidR="007E68D9" w:rsidRPr="007E68D9" w:rsidRDefault="007E68D9" w:rsidP="007E68D9">
      <w:pPr>
        <w:numPr>
          <w:ilvl w:val="0"/>
          <w:numId w:val="6"/>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согласования правил регулирования оборота различных объектов интеллектуальной собственности (товарных знаков, фирменных наименований, объектов авторского права). Осуществление прав правообладателя на один вид объектов интеллектуальной собственности не должно нарушать прав правообладателей на другой вид объектов в случае пересечения сфер использования объектов. В случае возникновения конфликтов между правообладателями различных объектов (например, товарных знаков и объектов авторского права – литературных героев, названий произведений) такие конфликты должны разрешаться на основе специально разрабатываемых правил, гарантирующих сохранение баланса интересов указанных лиц. </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2.7. Регулирование отношений, связанных с </w:t>
      </w:r>
      <w:r w:rsidRPr="007E68D9">
        <w:rPr>
          <w:rFonts w:ascii="Times New Roman" w:eastAsia="Times New Roman" w:hAnsi="Times New Roman" w:cs="Times New Roman"/>
          <w:b/>
          <w:bCs/>
          <w:sz w:val="24"/>
          <w:szCs w:val="24"/>
          <w:lang w:eastAsia="ru-RU"/>
        </w:rPr>
        <w:t>защитой информации</w:t>
      </w:r>
      <w:r w:rsidRPr="007E68D9">
        <w:rPr>
          <w:rFonts w:ascii="Times New Roman" w:eastAsia="Times New Roman" w:hAnsi="Times New Roman" w:cs="Times New Roman"/>
          <w:sz w:val="24"/>
          <w:szCs w:val="24"/>
          <w:lang w:eastAsia="ru-RU"/>
        </w:rPr>
        <w:t>, должно опираться на следующие отраслевые принципы:</w:t>
      </w:r>
    </w:p>
    <w:p w:rsidR="007E68D9" w:rsidRPr="007E68D9" w:rsidRDefault="007E68D9" w:rsidP="007E68D9">
      <w:pPr>
        <w:numPr>
          <w:ilvl w:val="0"/>
          <w:numId w:val="7"/>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раздельного правового регулирования деятельности, связанной с технической защитой информации, деятельности в области криптографии и деятельности по удостоверению ЭЦП и выдаче ключей ЭЦП. Для всех указанных видов деятельности должны создаваться правила, учитывающие специфику конкретного вида деятельности. К лицам, занимающимся одним из указанных видов деятельности, не могут предъявляться требования, вытекающие из актов, регулирующих другие виды деятельности, хотя бы данная деятельность и подпадала под формальные признаки, устанавливаемые в таких актах. </w:t>
      </w:r>
    </w:p>
    <w:p w:rsidR="007E68D9" w:rsidRPr="007E68D9" w:rsidRDefault="007E68D9" w:rsidP="007E68D9">
      <w:pPr>
        <w:numPr>
          <w:ilvl w:val="0"/>
          <w:numId w:val="7"/>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 xml:space="preserve">Принцип дифференциации требований к средствам защиты информации и средствам ЭЦП в зависимости от уровня их надежности и сферы их использования. Должно разграничиваться регулирование средств защиты информации, предназначенных для использования в сфере обороны и безопасности, и предназначенных для гражданских целей. Уровень надежности применяемых средств защиты информации и средств ЭЦП должен быть явно определен для пользователей. Требования к надежности указанных средств, устанавливаемые и контролируемые государством, должны различаться в зависимости от заявленного уровня их надежности. Ограничения, вводимые на оборот средств защиты информации, не могут быть обусловлены избыточностью уровня защиты, предоставляемой такими средствами. </w:t>
      </w:r>
    </w:p>
    <w:p w:rsidR="007E68D9" w:rsidRPr="007E68D9" w:rsidRDefault="007E68D9" w:rsidP="007E68D9">
      <w:pPr>
        <w:numPr>
          <w:ilvl w:val="0"/>
          <w:numId w:val="7"/>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свободы разработки и использования средств защиты информации для частных целей. Средства защиты информации (в том числе технической защиты), средства ЭЦП могут свободно разрабатываться организациями и гражданами для использования в своих личных целях либо в корпоративной сети организации. Средства, предназначенные для использования неограниченным кругом лиц, должны проходить проверку на предмет подтверждения их соответствия заявленному уровню надежности. </w:t>
      </w:r>
    </w:p>
    <w:p w:rsidR="007E68D9" w:rsidRPr="007E68D9" w:rsidRDefault="007E68D9" w:rsidP="007E68D9">
      <w:pPr>
        <w:numPr>
          <w:ilvl w:val="0"/>
          <w:numId w:val="7"/>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разделения функций разработки средств защиты информации и ЭЦП и осуществления проверки надежности указанных средств. Организации, осуществляющие разработку, распространение и техническую поддержку средств защиты информации, оказывающие услуги по защите информации либо по выдаче и удостоверению ключей ЭЦП, не могут наделяться функциями контроля за указанной деятельностью или обязанностями по проверке соответствия средств защиты информации (средств ЭЦП). Органы, осуществляющие контроль за оборотом средств защиты информации и средств ЭЦП, не могут заниматься деятельностью по разработке указанных средств, оказанием услуг по защите информации, удостоверению и выдаче ключей ЭЦП. Указанные ограничения распространяются и на лиц, аффилированных с органами и организациями, осуществляющими данные виды деятельности. </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2.8. Государственный контроль за деятельностью в области </w:t>
      </w:r>
      <w:r w:rsidRPr="007E68D9">
        <w:rPr>
          <w:rFonts w:ascii="Times New Roman" w:eastAsia="Times New Roman" w:hAnsi="Times New Roman" w:cs="Times New Roman"/>
          <w:b/>
          <w:bCs/>
          <w:sz w:val="24"/>
          <w:szCs w:val="24"/>
          <w:lang w:eastAsia="ru-RU"/>
        </w:rPr>
        <w:t>электронной коммерции</w:t>
      </w:r>
      <w:r w:rsidRPr="007E68D9">
        <w:rPr>
          <w:rFonts w:ascii="Times New Roman" w:eastAsia="Times New Roman" w:hAnsi="Times New Roman" w:cs="Times New Roman"/>
          <w:sz w:val="24"/>
          <w:szCs w:val="24"/>
          <w:lang w:eastAsia="ru-RU"/>
        </w:rPr>
        <w:t xml:space="preserve"> должен соответствовать следующим отраслевым принципам:</w:t>
      </w:r>
    </w:p>
    <w:p w:rsidR="007E68D9" w:rsidRPr="007E68D9" w:rsidRDefault="007E68D9" w:rsidP="007E68D9">
      <w:pPr>
        <w:numPr>
          <w:ilvl w:val="0"/>
          <w:numId w:val="8"/>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приоритета саморегулирования над прямым государственным регулированием. Государственная политика в области электронной коммерции должна быть направлена на создание эффективных механизмов саморегулирования участников деятельности в области электронной коммерции. Вмешательство государства должно осуществляться только в случаях, когда в результате сбоев или неразвитости механизмов саморегулирования создается угроза нарушения прав участников деятельности в области электронной коммерции. При создании саморегулируемых организаций участников данного рынка им могут передаваться отдельные государственные полномочия по регулированию данного рынка. </w:t>
      </w:r>
    </w:p>
    <w:p w:rsidR="007E68D9" w:rsidRPr="007E68D9" w:rsidRDefault="007E68D9" w:rsidP="007E68D9">
      <w:pPr>
        <w:numPr>
          <w:ilvl w:val="0"/>
          <w:numId w:val="8"/>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ограниченности вмешательства государства в деятельность участников электронной коммерции. Вмешательство государства должно обеспечивать защиту прав и законных интересов участников деятельности в области электронной коммерции. Указанная цель должна являться единственной целью государственного вмешательства. Ограничение автономных действий участников в иных целях не допускается. </w:t>
      </w:r>
    </w:p>
    <w:p w:rsidR="007E68D9" w:rsidRPr="007E68D9" w:rsidRDefault="007E68D9" w:rsidP="007E68D9">
      <w:pPr>
        <w:numPr>
          <w:ilvl w:val="0"/>
          <w:numId w:val="8"/>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Принцип интернационализации правового регулирования электронной коммерции. Национальные правила и нормы, регулирующие деятельность в области электронной коммерции, должны соответствовать основным подходам, </w:t>
      </w:r>
      <w:r w:rsidRPr="007E68D9">
        <w:rPr>
          <w:rFonts w:ascii="Times New Roman" w:eastAsia="Times New Roman" w:hAnsi="Times New Roman" w:cs="Times New Roman"/>
          <w:sz w:val="24"/>
          <w:szCs w:val="24"/>
          <w:lang w:eastAsia="ru-RU"/>
        </w:rPr>
        <w:lastRenderedPageBreak/>
        <w:t xml:space="preserve">выработанным в международной практике и обеспечивать возможность свободного совершения коммерческих операций вне зависимости от местонахождения участников (на территории РФ или за границей). </w:t>
      </w:r>
    </w:p>
    <w:p w:rsidR="007E68D9" w:rsidRPr="007E68D9" w:rsidRDefault="007E68D9" w:rsidP="007E68D9">
      <w:pPr>
        <w:spacing w:before="100" w:beforeAutospacing="1" w:after="100" w:afterAutospacing="1"/>
        <w:jc w:val="left"/>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III. Существующее правовое регулирование применения ИКТ в России</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III.1. Общая ситуация, сложившаяся в законодательстве о применении ИКТ.</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3.1.1. Российское информационное законодательство, формировавшееся во время наиболее динамичного развития информационных технологий, характеризовалось постоянным отставанием от современного уровня ИКТ. Изменения законодательства характеризовались отсутствием каких-либо программных документов, устанавливающих хотя бы приблизительные правила для организации использования ИКТ.</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3.1.2. Одним из наиболее нежелательных следствий отсутствия системного подхода к регулированию сектора ИКТ является снижение конкурентоспособности отечественного сектора ИКТ по отношению к странам с рыночной экономикой. Эта проблема, носящая структурный характер, вызвана рядом других проблем, таких как:</w:t>
      </w:r>
    </w:p>
    <w:p w:rsidR="007E68D9" w:rsidRPr="007E68D9" w:rsidRDefault="007E68D9" w:rsidP="007E68D9">
      <w:pPr>
        <w:numPr>
          <w:ilvl w:val="0"/>
          <w:numId w:val="9"/>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отсутствие четких гарантий прав граждан, вызванное системными препятствиями, возникающими на пути к их осуществлению; </w:t>
      </w:r>
    </w:p>
    <w:p w:rsidR="007E68D9" w:rsidRPr="007E68D9" w:rsidRDefault="007E68D9" w:rsidP="007E68D9">
      <w:pPr>
        <w:numPr>
          <w:ilvl w:val="0"/>
          <w:numId w:val="9"/>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отсутствие гарантий для предпринимателей, неоправданные барьеры выхода на рынок, вызванные, зачастую, нехваткой информации о требованиях законодательства к осуществлению той или иной деятельности; </w:t>
      </w:r>
    </w:p>
    <w:p w:rsidR="007E68D9" w:rsidRPr="007E68D9" w:rsidRDefault="007E68D9" w:rsidP="007E68D9">
      <w:pPr>
        <w:numPr>
          <w:ilvl w:val="0"/>
          <w:numId w:val="9"/>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коррупция среди чиновников госаппарата, основанная, прежде всего, на возможности принятия решений с высокой степенью произвольности; </w:t>
      </w:r>
    </w:p>
    <w:p w:rsidR="007E68D9" w:rsidRPr="007E68D9" w:rsidRDefault="007E68D9" w:rsidP="007E68D9">
      <w:pPr>
        <w:numPr>
          <w:ilvl w:val="0"/>
          <w:numId w:val="9"/>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отсутствие эффективных процедур ответственности госслужащих и государственных органов за нарушения своих обязанностей, в том числе и нарушения в области информационного взаимодействия, низкий уровень успешно осуществленных преследований за такие нарушения и высокая латентность таких нарушений. </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3.1.3. Основная часть активности государственных органов направлена на реализацию различных форм предварительного контроля в области использования ИКТ. К таким формам относятся, прежде всего, лицензирование, сертификация, таможенный контроль.</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3.1.4. Действующим законодательством устанавливается обязательное лицензирование в отношении ряда основных видов деятельности, составляющих сектор ИКТ. Предусмотрено лицензирование всех видов деятельности в области связи, использования ЭЦП и шифровальных средств (разработка, производство, эксплуатация).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3.1.5. Столь широкое распространение лицензирования в секторе ИКТ не соответствует установленным в законодательстве критериям введения лицензирования той или иной деятельности. Основным таким критерием является необходимость регулирования данного вида деятельности, при невозможности осуществления его регулирования иными, кроме лицензирования, методами.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3.1.6. Сертификация продукции и услуг в ИКТ секторе, как правило, носит избыточный характер, существенно обременяя участников рынка без серьезной к тому необходимости. В то же время, существующая в настоящий момент процедура сертификации не обеспечивает действительного соответствия продукции и услуг тем стандартам, на соответствие требованиям которых производится проверка. Такая проверка носит </w:t>
      </w:r>
      <w:r w:rsidRPr="007E68D9">
        <w:rPr>
          <w:rFonts w:ascii="Times New Roman" w:eastAsia="Times New Roman" w:hAnsi="Times New Roman" w:cs="Times New Roman"/>
          <w:sz w:val="24"/>
          <w:szCs w:val="24"/>
          <w:lang w:eastAsia="ru-RU"/>
        </w:rPr>
        <w:lastRenderedPageBreak/>
        <w:t>формальный характер и не связана с контролем фактических качеств распространяемой продукции; проверяется по большей части лишь правильность оформления необходимых документов.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3.1.7. Регулирование экспорта и импорта информации и объектов интеллектуальной собственности сильно отстает от возможностей ИКТ в информационном обмене. Регулирование перемещения через таможенную границу объектов интеллектуальной собственности или информации регулируется только на уровне носителей информации. В настоящее время носитель не является необходимым для перемещения информационных объектов, а таможенное законодательство не учитывает такие случаи. Тем самым, на лиц, перемещающих информацию через границу, накладываются неоправданные обременения, связанные с таможенным контролем, в то время как проверка соблюдения действительно необходимых требований (в том числе, ограничений на распространение технологий двойного назначения) не проводится из-за отсутствия законодательных механизмов ее осуществления.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3.1.8. Все существующие в настоящее время административные процедуры противоречат принципу устранения избыточных административных барьеров, который устанавливается не только применительно к правовому регулированию сектора ИКТ, но и ко всем иным отраслям административного регулирования. Административные барьеры могут вводиться только в исключительных случаях для защиты особо важных интересов личности, общества и государства и не должны накладывать на участников общественных отношений ограничений, не оправданных целями введения таких барьеров. Использование административных барьеров в качестве универсального инструмента регулирования общественных отношений, как это происходит в настоящее время, неприемлемо.</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3.1.9. В то же время крайне неэффективными являются и меры текущего контроля за деятельностью в ИКТ секторе. Надзорные органы оказались не в состоянии не только предупреждать возможные нарушения прав и законных интересов участников данной деятельности, но и эффективно выявлять виновных в случае совершения правонарушений, пресекать общественно-опасные действия правонарушителей и организовывать возмещение правонарушителями причиненного ущерба. Неэффективной является и деятельность правоохранительных органов в этой сфере.</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3.1.10. При этом надзорные и правоохранительные органы наделены достаточными, а в некоторых случаях и неоправданно широкими полномочиями по осуществлению надзора и контроля, рассмотрению и разрешению споров. Указанные полномочия используются для совершения разовых, несистематических действий, не основанных на стратегических и тактических программных разработках. Значительный объем властных полномочий при этом является фактором, способным парализовать деятельность участников рынка, в отношении которых осуществляются указанные мероприятия, а во многих случаях и фактически вытеснить их с рынка.</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3.1.11. Неэффективным является механизм разрешения споров в области ИКТ. Существующая судебная система рассмотрения хозяйственных споров не отвечает потребностям отрасли, в частности, неудовлетворительной является скорость рассмотрения и разрешения споров. Пробелы в законодательстве о третейских судах делают практически невозможным создание механизмов разрешения споров, приспособленных к нуждам ИКТ сектора.</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3.1.12. В целом, меры как предварительного, так и текущего контроля оказались не способны создать эффективного механизма осуществления и защиты прав участников деятельности в ИКТ секторе. При этом в большинстве случаев игнорируются сложившиеся в зарубежной практике подходы к решению указанных задач. В частности, не создано единого для всех отраслей ИКТ сектора межведомственного координирующего органа, способного эффективно координировать деятельность остальных государственных органов в этой области. Недостаточное внимание уделяется механизмам саморегулирования и взаимодействию с саморегулируемыми организациями. Не создано механизмов передачи полномочий саморегулируемым организациям участников рынка ИКТ. В целом все это не позволяет использовать возможности саморегулирования в полной мере.</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3.1.13. Процессы имплементации в национальном законодательстве норм международно-правового характера протекают относительно успешно только в регулировании оборота объектов интеллектуальной собственности. В остальных отраслях подходы, выработанные зарубежной практикой, либо не учитываются вообще, либо механически переносятся без необходимой адаптации к сложившейся правовой системе. Не ведется работа по активному сотрудничеству с международными организациями и участию в выработке новых правовых норм.</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 xml:space="preserve">III.2. Регулирование отношений в области информационного взаимодействия </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3.2.1. Информационное взаимодействие долгое время рассматривалось как явление, сопровождающее процессы государственного управления, но не требующее системного регулирования. В связи с этим, нормы, устанавливающие отдельные правила информационного взаимодействия, как правило, содержатся в нормативных актах подзаконного характера федеральных органов исполнительной власти, органов власти субъектов Федерации, органов местного самоуправления. Это обусловило противоречивость и фрагментарность законодательства об информационном взаимодействии.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3.2.2. Возникающие в результате рыночной перестройки общественные отношения требовали создания должной системы регулирования. В большинстве случаев такую систему удалось создать, однако правила информационного взаимодействия граждан, организаций и органов государственной власти не были адаптированы к новой обстановке. Усложнившиеся формы деятельности в условиях рыночной экономики и свободного оборота товаров, работ и услуг вызвали необходимость увеличения числа информационных транзакций, необходимость осуществления контроля за общественными отношениями, связанными с использованием ИКТ.</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3.2.3. Отсутствие системного подхода к регулированию использования ИКТ в сфере государственной власти к накоплению различными органами государственной власти разрозненных и изолированных информационных ресурсов, содержащих зачастую многократно дублирующуюся информацию о гражданах и организациях. Изолированность государственных информационных ресурсов не позволяет, в большинстве случаев, использовать указанное дублирование информации для повышения качества и надежности информационных транзакций. Сроки осуществления транзакций, предусматривающих обмен информацией за пределами одного органа власти, неоправданно велики либо вообще нормативно не установлены. Такое положение находится в острейшем противоречии с принципами консолидации государственных информационных ресурсов, сокращения количества транзакций, а следовательно, и с принципом гарантий прав граждан и юридических лиц.</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3.2.4. На теоретическом уровне не определен характер и степень взаимодействия информационного права и других отраслей, в первую очередь, гражданского права, что приводит к противоречиям при регулировании соответствующих общественных отношений. Отсутствуют принципы разграничения частноправового и публично-правового регулирования в области информационного взаимодействия. Основными проблемами в этой области являются: отсутствие системности при определении основных прав на информацию, неясность при соотнесении права собственности и исключительных прав на информацию, значительное количество пробелов и противоречий в информационном законодательстве.</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3.2.5. Несмотря на то, что информационные ресурсы по уровню доступа разделены на открытые и общедоступные ресурсы и ресурсы с ограниченным доступом, в законодательстве не содержится предметного перечня открытой информации, а также не систематизирован институт конфиденциальной информации. Это противоречит принципу реальной открытости информации: граждане и организации должны быть осведомлены о своем праве получить доступ к той или иной категории информации. Несистематизированность законодательства в этой части является серьезным препятствием для осуществления частными лицами своих прав.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3.2.6. В настоящее время не существует единого нормативного акта, раскрывающего основные права граждан в области информации, порядок осуществления доступа к информации. Не систематизированы и права и обязанности государственных органов и юридических лиц при формировании государственных информационных ресурсов и получении информации из таких ресурсов. Не создана система организационных гарантий прав граждан и юридических лиц на получение ими необходимой информации, в частности, не решен вопрос о роли и статусе информационных посредников в механизме реализации прав на доступ к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3.2.7. Серьезным препятствием является отсутствие в законодательстве механизма принудительного осуществления прав граждан, прежде всего, связанных с доступом к информации. Существующие в настоящее время положения о невозможности ограничения доступа к некоторым категориям информации не подкрепляются необходимыми гарантиями организационного, процессуального и материального характера. В частности, не действует предусмотренный Гражданским процессуальным кодексом РФ и Законом Российской Федерации "Об обжаловании в суд действий и решений, нарушающих права и свободы граждан" порядок обжалования отказа в выдаче информации, а порядок обжалования бездействия соответствующих органов государственной власти процессуальным законодательством вообще не установлен.</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3.2.8. В законодательстве не создано механизма возмещения убытков, причиненных гражданам и юридическим лицам действиями (бездействием) органов государственной власти и должностных лиц. Положения Гражданского кодекса в этой сфере были фактически приостановлены Бюджетным кодексом и законами о федеральном бюджете на текущий год, предусматривающими ограничение выплат убытков, причиненных органами государственной власти.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3.2.9. Положения отдельных нормативных актов, касающиеся информационного взаимодействия государственных органов с гражданами и юридическими лицами носят противоречивый характер, что обуславливается отсутствием единого подхода к установлению правил такого взаимодействия. Принципы предоставления информации (полнота, своевременность, достоверность) не закреплены на уровне акта общего характера и лишь дробно встречаются в отдельных отраслевых актах.</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3.2.10. Отсутствие системности правового регулирования вопросов информационного взаимодействия влечет неурегулированность ряда важнейших вопросов, касающихся гарантий соблюдения правил информационного взаимодействия. В частности, не предусмотрено эффективных механизмов ответственности государственных органов и должностных лиц в случае нарушения предусмотренного порядка предоставления информации. В настоящий момент такая ответственность носит преимущественно дисциплинарный характер и, что особенно важно, не связана с компенсацией лицом причиненного ущерба.</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3.2.11. Мало внимания уделяется технико-организационным гарантиям информационного взаимодействия. Не создается основа для формирования единого информационного пространства органов государственной власти, преодоления дублирования информации в государственных информационных ресурсах. Не ведется планомерного финансирования деятельности государственных органов по формированию необходимой аппаратной базы и программных средств, по обеспечению доступа к информационным ресурсам посредством открытых телекоммуникационных сетей. Наконец, давно заявленный переход государственных органов к электронному документообороту осуществляется крайне медленно.</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3.2.12. Все это позволяет говорить о критической ситуации, сложившейся в области информационного взаимодействия государственных органов с гражданами и юридическими лицами. Те немногие нормы, устанавливающие правила такого взаимодействия, что включены в действующее законодательство, совершенно не обеспечены системой необходимых гарантий их исполнения - правовых, организационных, материально-технических. Все это ведет к крайней неэффективности существующих на сегодня правил информационного взаимодействия, создает угрозу нарушения прав граждан и юридических лиц на доступ к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III.3. Регулирование рынка телекоммуникационных и информационных услуг</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3.3.1. Взаимная интеграция телекоммуникационных и информационных услуг в последнее время привела к тому, что требования, устанавливаемые исключительно для рынка телекоммуникационных услуг, проецируются и на информационные услуги. При этом в законодательстве игнорируется необходимость выделения в качестве самостоятельной группы организаций, оказывающих исключительно информационные услуги и не затрагивающих услуги связи, и установления упрощенного порядка их лицензирования, или же полного отказа от лицензирования в этой области.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3.3.2. Деятельность по оказанию информационных и телекоммуникационных услуг в настоящее время сопряжена с необходимостью преодоления большого количества иных, помимо лицензирования, административных барьеров – регистрации, получения разрешений, сертификации. Процедуры получения разрешений, введения в эксплуатацию объектов связи чрезмерно усложнены и неэффективны.</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3.3.3. Большой круг проблем связан с неопределенностью полномочий надзорных и контрольных органов в области телекоммуникаций, расширительным толкованием в ведомственных нормативных актах перечня полномочий, предоставленных им законом. Круг полномочий в самом законе сформулирован нечетко, что и позволяет регулирующим органам осуществлять подобные действия. Неопределенность положений федерального законодательства влечет различия в толковании его норм в различных регионах. Региональные правовые акты в области связи зачастую противоречат федеральному законодательству.</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3.3.4. Законодательством в области связи и телекоммуникаций оставлен без внимания ряд важнейших вопросов, связанных с деятельностью в этой области. В частности, не решаются вопросы, связанные с присоединением сетей операторов связи, оказанием универсальных услуг связи. Крайне нечетко сформулирована система контроля за механизмами ценообразования операторов связи, что позволяет государственным органам произвольно устанавливать цены, в том числе и с нарушением основ недискриминации операторов связи.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3.3.5. В текущем законодательстве о связи не наблюдается характерной для западных стран тенденции к открытию рынка услуг связи для конкуренции. Большая часть норм посвящена механизмам прямого государственного регулирования деятельности в области связи и телекоммуникаций, развитие механизмов конкуренции законодателем игнорируется.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3.3.6. В законодательстве о связи не устанавливается конкретных организационных механизмов интеграции в мировые информационные сети и системы. В то же время, в рамках международного сотрудничества требуется признать и начать применять основы международно-правовой регламентации и ввести единые международные правила, обеспечивающие совместимость и возможность совместного использования информационных систем, действующих в разных государствах.</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III.4. Регулирование оборота интеллектуальной собственности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3.4.1. Основные проблемы в этой области связаны с разрешением складывающихся противоречий между возможностью свободного доступа к информации и защитой прав правообладателей. На текущий момент создана правовая база для регулирования правоотношений, связанных с использованием объектов интеллектуальной собственности и информации как объекта гражданских прав. Однако на практике эти нормы не всегда правильно проецируются на вновь возникающие технологии, а судебная практика рассмотрения дел, связанных с компьютерными технологиями и формированием доказательственной базы, пока не сформировалась.</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3.4.2. Актуальным остается вопрос об учете объектов интеллектуальной собственности в качестве нематериальных активов. Современное налоговое законодательство содержит разрозненные нормы, преследующие, по большей части, фискальные цели. Растет число злоупотреблений, связанных с оценкой нематериальных активов. В то же время стоимость многих компаний неоправданно занижается из-за отсутствия правильных подходов к учету и оценке нематериальных активов.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3.4.3. Не решена проблема соотношения прав на такие объекты, как фирменное наименование, товарный знак (знак обслуживания) и доменное имя. Права законных обладателей фирменных наименований и товарных знаков не получают защиты при их нарушении в случае регистрации сходных доменных имен. Не создано механизмов защиты от злоупотреблений правообладателей, ограничивающих развитие товарного оборота с использованием возможностей, предоставляемых законодательством о промышленной собственности.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3.4.5. Еще одним вопросом, не разрешенным в настоящее время на законодательном уровне, является вопрос таможенного оформления и регулирования экспорта программного обеспечения, осуществляемого посредством сети Интернет. Решение данного вопроса должно быть осуществлено таким образом, чтобы это не создало дополнительных препятствий к осуществлению экспорта высоких технологий.</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3.4.6. Важным вопросом является необходимость гармонизации отечественного законодательства об интеллектуальной собственности с международными правовыми актами. Действующее в настоящий момент законодательство основано на международно-правовых актах 1970-х годов и уже не отвечает изменившимся потребностям оборота объектов интеллектуальной собственности. Необходима работа по актуализации положений отечественного законодательства в области интеллектуальной собственности, сочетающаяся с активным участием России в деятельности международных организаций, разрабатывающих новые международные акты в этой области.</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III.5. Регулирование оборота средств защиты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3.5.1. Основной проблемой в области оборота средств защиты информации является чрезмерно жесткий подход к регулирования деятельности в этой области. Все виды деятельности, связанные со средствами защиты информации и криптографией, подлежат обязательному лицензированию, все программные и аппаратные средства сертифицируются в обязательном порядке. Требования как к сертификации, так и к лицензированию устанавливаются избыточно жесткие. При этом сами процедуры лицензирования и сертификации, налагая неоправданные ограничения на участников рынка, не способны обеспечить необходимого уровня надежности оборудования и уровня квалификации лиц, ведущих деятельность в этой области.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3.5.2. В то же время, крайне медленно ведется законодательная работа по созданию необходимой правовой базы и организации создания системы использования ЭЦП в РФ. Несмотря на принятие базового федерального закона об ЭЦП, не создано соответствующей организационной структуры деятельности удостоверяющих центров, иных видов деятельности в области ЭЦП. До принятия соответствующих актов использование ЭЦП невозможно.</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3.5.3. В силу неопределенности законодательства о защите информации и ЭЦП многие виды деятельности подлежат двойному регулированию. В частности, для ведения деятельности по выдаче и удостоверению ключей ЭЦП будет фактически необходимо получать также и лицензии на работу со средствами криптографической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3.5.4. Еще одним важным вопросом является определение роли и места государственных органов, контролирующих деятельность по обеспечению защиты информации. Ошибкой действующего законодательства является объединение функций по разработке информационных систем для государственных органов и по контролю за оборотом средств защиты информации (в том числе путем лицензирования соответствующей деятельности), дублирование контроля одного и того же вида деятельности разными ведомствами, а также отсутствие разграничения выдвигаемых требований к защите информации по отношению к государственным и негосударственным структурам.</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3.5.5. Требования законодательства РФ, регулирующего оборот средств защиты информации зачастую игнорируют сложившиеся за рубежом стандарты. При этом в большинстве не разделяются сферы возможного использования средств информационного обмена, и ограничения, необходимые в публично-правовых отношениях, механически распространяются на отношения частноправовые. Такие требования представляются излишними применительно к отношениям между субъектами гражданского оборота, которые несут полную ответственность за результат собственных действий и учитывают риск использования тех или иных средств информационного обмена.</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III.6. Регулирование электронной коммерции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 xml:space="preserve">3.6.1. Развитие электронной коммерции в РФ требует решения вопросов, касающихся </w:t>
      </w:r>
    </w:p>
    <w:p w:rsidR="007E68D9" w:rsidRPr="007E68D9" w:rsidRDefault="007E68D9" w:rsidP="007E68D9">
      <w:pPr>
        <w:numPr>
          <w:ilvl w:val="0"/>
          <w:numId w:val="10"/>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заключения сделок в сети; </w:t>
      </w:r>
    </w:p>
    <w:p w:rsidR="007E68D9" w:rsidRPr="007E68D9" w:rsidRDefault="007E68D9" w:rsidP="007E68D9">
      <w:pPr>
        <w:numPr>
          <w:ilvl w:val="0"/>
          <w:numId w:val="10"/>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исполнения денежных обязательств в сети; </w:t>
      </w:r>
    </w:p>
    <w:p w:rsidR="007E68D9" w:rsidRPr="007E68D9" w:rsidRDefault="007E68D9" w:rsidP="007E68D9">
      <w:pPr>
        <w:numPr>
          <w:ilvl w:val="0"/>
          <w:numId w:val="10"/>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соблюдения прав покупателей; </w:t>
      </w:r>
    </w:p>
    <w:p w:rsidR="007E68D9" w:rsidRPr="007E68D9" w:rsidRDefault="007E68D9" w:rsidP="007E68D9">
      <w:pPr>
        <w:numPr>
          <w:ilvl w:val="0"/>
          <w:numId w:val="10"/>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способов разрешения конфликтов; </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3.6.2. Заключение сделок с использованием электронных средств и аналогов собственноручной подписи в настоящий момент практически невозможно из-за отсутствия нормативного механизма использования таких средств. Гражданское законодательство содержит только отсылочные нормы, которые должны быть восполнены отдельными законами или иными правовыми актам. Однако такие акты до сих пор не приняты. Федеральный закон, устанавливающий порядок использования ЭЦП фактически не действует в силу отсутствия нормативных актов, раскрывающих механизм действия системы удостоверяющих центров. Кроме того, устанавливаемый данным законом порядок использования ЭЦП является довольно жестким и во многих случаях не может применяться для целей электронной коммерции.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3.6.3. Осуществление расчетов в сети Интернет также затруднено из-за отсутствия необходимой нормативной базы. Положения, касающиеся использования платежных карт, не учитывают возможности осуществления платежей через Интернет. Не выработаны правила использования иных, помимо банковских карт, платежных инструментов в сети Интернет.</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3.6.4. Серьезным препятствием для развития электронной коммерции является чрезвычайная сложность законного осуществления сделок с контрагентами, находящимися на территории другого государства, в том числе принудительного осуществления вытекающих из них прав и обязанностей. Законодательство о внешней торговле товарами, экспортном и валютном контроле не приспособлено к нуждам и возможностям электронной коммерции.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3.6.5. Отсутствие механизмов заключения договоров и осуществления платежей посредством электронных средств, жесткость нормативного регулирования международного торгового оборота привели к возникновению критической ситуации с защитой прав пользователей. Заключаемые в настоящее время при помощи электронных средств и аналогов собственноручной подписи соглашения фактически не признаются государством и не наделяются исковой защитой. Большинство доказательств в электронном виде считается недопустимыми. При осуществлении платежей с использованием банковских карт обе стороны оказываются незащищенными в случае мошеннических действий любого лица. Не существует правовых средств защиты интересов лиц при использовании ими иных платежных инструментов. Не создано эффективных механизмов принудительного осуществления сделок, заключенных с иностранными контрагентами.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3.6.6. При этом политика государственных органов, законотворческая работа, направлена преимущественно на "урегулирование" электронной коммерции, путем принятия актов, закрепляющих основные понятия, цели, направления деятельности государственных органов и иные сходные вопросы. В то же время вопросы защиты прав пользователей, оставляются без внимания, как и иные вопросы, связанные с гарантиями прав участников деятельности в области электронной коммерции и обеспечением стабильности оборота.</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3.6.7. В действующей нормативной базе не создано механизма, обеспечивающего защиту прав и законных интересов участников оборота при помощи механизмов саморегулирования. В то же время, существующая система судебных и иных правоохранительных органов слабо приспособлена к условиям отношений в области электронной коммерции. Слабо развитое и во многом противоречивое законодательство о третейских процедурах не позволяет развиваться механизмам разрешения споров, создаваемым непосредственно участниками электронной коммерции.</w:t>
      </w:r>
    </w:p>
    <w:p w:rsidR="007E68D9" w:rsidRPr="007E68D9" w:rsidRDefault="007E68D9" w:rsidP="007E68D9">
      <w:pPr>
        <w:spacing w:before="100" w:beforeAutospacing="1" w:after="100" w:afterAutospacing="1"/>
        <w:jc w:val="left"/>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IV. Стратегия правового регулирования ИКТ сектора</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IV.1. Система правового регулирования ИКТ сектора</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4.1.1. Система правового регулирования ИКТ сектора должна учитывать особенности предметной области регулирования и строиться в соответствии с принципами, устанавливаемыми настоящей Концепции.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4.1.2. В рамках общих для всех отраслей ИКТ сектора актов необходимо решить те вопросы, которые имеют значение для всех или нескольких отраслей сектора, а также те, которые невозможно решить средствами законодательства одной какой-либо отрасли. Кроме того, выделение в качестве особой группы актов, регулирующих общие вопросы, позволит решить задачу координации подходов к регулированию смежных вопросов в рамках различных отраслей, чтобы обеспечить согласованность и непротиворечивость всего законодательства о применении ИКТ.</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4.1.3. Отдельные отрасли законодательного регулирования сектора ИКТ должны основываться на отраслевых принципах регулирования, устанавливаемых в настоящей Концепции, и развивать общие для всех отраслей сектора принципы и положения.</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IV.2. Общие вопросы</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В рамках общего для всех отраслей ИКТ сектора законодательства должны быть решены следующие вопросы:</w:t>
      </w:r>
    </w:p>
    <w:p w:rsidR="007E68D9" w:rsidRPr="007E68D9" w:rsidRDefault="007E68D9" w:rsidP="007E68D9">
      <w:pPr>
        <w:numPr>
          <w:ilvl w:val="1"/>
          <w:numId w:val="11"/>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Обеспечение прав граждан и организаций </w:t>
      </w:r>
    </w:p>
    <w:p w:rsidR="007E68D9" w:rsidRPr="007E68D9" w:rsidRDefault="007E68D9" w:rsidP="007E68D9">
      <w:pPr>
        <w:numPr>
          <w:ilvl w:val="1"/>
          <w:numId w:val="11"/>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Функционирование межведомственного координирующего органа </w:t>
      </w:r>
    </w:p>
    <w:p w:rsidR="007E68D9" w:rsidRPr="007E68D9" w:rsidRDefault="007E68D9" w:rsidP="007E68D9">
      <w:pPr>
        <w:numPr>
          <w:ilvl w:val="1"/>
          <w:numId w:val="11"/>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Использование механизмов саморегулирования </w:t>
      </w:r>
    </w:p>
    <w:p w:rsidR="007E68D9" w:rsidRPr="007E68D9" w:rsidRDefault="007E68D9" w:rsidP="007E68D9">
      <w:pPr>
        <w:numPr>
          <w:ilvl w:val="1"/>
          <w:numId w:val="11"/>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Создание механизмов разрешения споров </w:t>
      </w:r>
    </w:p>
    <w:p w:rsidR="007E68D9" w:rsidRPr="007E68D9" w:rsidRDefault="007E68D9" w:rsidP="007E68D9">
      <w:pPr>
        <w:numPr>
          <w:ilvl w:val="1"/>
          <w:numId w:val="11"/>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Создание эффективной системы предварительного контроля </w:t>
      </w:r>
    </w:p>
    <w:p w:rsidR="007E68D9" w:rsidRPr="007E68D9" w:rsidRDefault="007E68D9" w:rsidP="007E68D9">
      <w:pPr>
        <w:numPr>
          <w:ilvl w:val="1"/>
          <w:numId w:val="11"/>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Интеграция в мировое информационное пространство </w:t>
      </w:r>
    </w:p>
    <w:p w:rsidR="007E68D9" w:rsidRPr="007E68D9" w:rsidRDefault="007E68D9" w:rsidP="007E68D9">
      <w:pPr>
        <w:spacing w:before="100" w:beforeAutospacing="1" w:after="100" w:afterAutospacing="1"/>
        <w:jc w:val="left"/>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IV.2.1. Обеспечение прав граждан и организаций</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4.2.1.1. Основной задачей государственного регулирования является создание эффективных механизмов реализации гражданами и организациями их прав и обязанностей, механизмов их защиты и восстановления нарушенных прав. Простого декларирования в законе прав недостаточно, как недостаточно и одних правовых гарантий их реализации. Права граждан и организаций должны обеспечиваться всем комплексом правовых, организационных, материально-технических гарантий. Конкретные механизмы осуществления и защиты прав граждан и организаций должны устанавливаться в актах отдельных отраслей законодательства об ИКТ, в рамках общих для всего сектора актов должны устанавливаться основные положения, служащие гарантиями единообразной и всесторонней защиты прав во всех видах деятельности, образующих ИКТ сектор.</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4.2.1.2.Базовым конституционным правом гражданина в информационной сфере является право на неприкосновенность частной жизни, которая раскрывается путем указания институтов тайны переписки, телефонных переговоров, почтовых, телеграфных и иных сообщений и относящихся к конфиденциальной информации персональных данных. Право организаций на защиту коммерческой и служебной тайны также подразумевает необходимость соблюдения мер по охране хранимой и передаваемой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4.2.1.3. В связи с тем, что обладатели информационных ресурсов и систем, а также операторы связи имеют возможность получения информации о лицах, использующих ИКТ, должен быть законодательно закреплен принцип добросовестного уведомления об организационно-технических особенностях использования ИКТ. Реализация данного принципа обяжет уведомлять пользователей о тех особенностях работы используемых ими технологий, аппаратных и программных средств, которые автоматически собирают сведения о лицах при их использовании (например, при доступе к ресурсам сети Интернет) или могут быть использованы для указанной деятельности. Должны быть установлены обязанности данных субъектов не разглашать полученную ими информацию, механизмы ответственности на случай нарушения подобной обязанности.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4.2.1.4. Должны быть созданы механизмы осуществления и защиты права собственности граждан и юридических лиц в секторе ИКТ. Для этого должны быть устранены избыточные административные барьеры, созданы условия для доступа к информации, для свободного осуществления и защиты исключительных прав на объекты интеллектуальной собственности.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4.2.1.5. Необходимо совершенствовать механизмы разрешения споров, механизмы защиты прав потребителей в секторе ИКТ. Существующие универсальные способы защиты права посредством судебных органов, органов, осуществляющих контроль за отдельными видами деятельности, неэффективен. В рамках общей реформы судебных и административных процедур должны быть учтены требования, специфические для сектора ИКТ, в частности, требования к срокам рассмотрения споров, обеспечению доказательств, принудительному исполнению обязательств.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4.2.1.6. Должны быть созданы условия для создания механизмов саморегулирования (саморегулируемых организаций участников рынка, разработки методик, стандартов, кодексов поведения), позволяющих осуществлять координацию действий граждан и юридических лиц, защиту прав и законных интересов, разрешение конфликтов. Развитие механизмов саморегулирования должно осуществляться в качестве приоритетного направления развития регулирования сектора ИКТ, однако государство не должно устраняться в тех случаях, когда создается угроза нарушения прав, а средствами саморегулирования и самозащиты подобные угрозы не могут быть устранены.</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4.2.1.7. Осуществление государственными органами своих полномочий не должно создавать угрозы нарушения прав граждан и юридических лиц. Ограничения прав участников того или иного вида деятельности в области ИКТ в результате осуществления полномочий государственных органов может быть обусловлено только необходимостью защиты конкретных прав и интересов участников данного вида деятельности либо определенными в законе государственными интересами.</w:t>
      </w:r>
    </w:p>
    <w:p w:rsidR="007E68D9" w:rsidRPr="007E68D9" w:rsidRDefault="007E68D9" w:rsidP="007E68D9">
      <w:pPr>
        <w:spacing w:before="100" w:beforeAutospacing="1" w:after="100" w:afterAutospacing="1"/>
        <w:jc w:val="left"/>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IV.2.2. Межведомственный координирующий орган</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4.2.2.1. Существующая система органов, осуществляющих контрольные и надзорные полномочия в секторе ИКТ, является крайне неэффективной. Число органов сравнительно </w:t>
      </w:r>
      <w:r w:rsidRPr="007E68D9">
        <w:rPr>
          <w:rFonts w:ascii="Times New Roman" w:eastAsia="Times New Roman" w:hAnsi="Times New Roman" w:cs="Times New Roman"/>
          <w:sz w:val="24"/>
          <w:szCs w:val="24"/>
          <w:lang w:eastAsia="ru-RU"/>
        </w:rPr>
        <w:lastRenderedPageBreak/>
        <w:t>велико, их полномочия определены нечетко и не составляют единой системы, их деятельность практически не координируется. Средства на осуществление указанных полномочий расходуются неэффективно. Все это влечет возникновение пробелов в регулировании и областей, где регулирование является избыточным, увеличение расходов на осуществление управленческой деятельности без повышения ее эффективности.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4.2.2.2. Необходимо создать единый государственный орган, осуществляющий координацию существующих государственных органов, реализующих меры государственного регулирования ИКТ сектора, и несущий ответственность за реализацию согласованных мер в секторе ИКТ. В состав указанного органа должны входить представители министерств и ведомств, занимающие соответствующий статус в таких министерствах и ведомствах, представители саморегулируемых организаций участников рынка, общественных организаций сектора ИКТ и представители иных заинтересованных организаций.</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4.2.2.3. Деятельность указанного органа должна основываться на принципах коллегиальности, межотраслевого сотрудничества, приоритета мер по координации деятельности представленных в нем государственных органов над мерами принудительного характера, обязательности принимаемых решений.</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4.2.2.4. На координирующий орган должна быть возложена, в частности:</w:t>
      </w:r>
    </w:p>
    <w:p w:rsidR="007E68D9" w:rsidRPr="007E68D9" w:rsidRDefault="007E68D9" w:rsidP="007E68D9">
      <w:pPr>
        <w:numPr>
          <w:ilvl w:val="0"/>
          <w:numId w:val="12"/>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разработка основ политики в области использования ИКТ органами государственной власти; </w:t>
      </w:r>
    </w:p>
    <w:p w:rsidR="007E68D9" w:rsidRPr="007E68D9" w:rsidRDefault="007E68D9" w:rsidP="007E68D9">
      <w:pPr>
        <w:numPr>
          <w:ilvl w:val="0"/>
          <w:numId w:val="12"/>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организация разработки и реализации предметных концепций, основных направлений и программ; </w:t>
      </w:r>
    </w:p>
    <w:p w:rsidR="007E68D9" w:rsidRPr="007E68D9" w:rsidRDefault="007E68D9" w:rsidP="007E68D9">
      <w:pPr>
        <w:numPr>
          <w:ilvl w:val="0"/>
          <w:numId w:val="12"/>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межотраслевая координация и контроль за деятельностью по созданию и развитию единого информационного пространства органов государственной власти; </w:t>
      </w:r>
    </w:p>
    <w:p w:rsidR="007E68D9" w:rsidRPr="007E68D9" w:rsidRDefault="007E68D9" w:rsidP="007E68D9">
      <w:pPr>
        <w:numPr>
          <w:ilvl w:val="0"/>
          <w:numId w:val="12"/>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общий надзор за возможностью реализации субъектами информационных отношений прав на доступ к информации; </w:t>
      </w:r>
    </w:p>
    <w:p w:rsidR="007E68D9" w:rsidRPr="007E68D9" w:rsidRDefault="007E68D9" w:rsidP="007E68D9">
      <w:pPr>
        <w:numPr>
          <w:ilvl w:val="0"/>
          <w:numId w:val="12"/>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научное и организационно-методическое руководство в сфере разработки нормативно-правовой базы; </w:t>
      </w:r>
    </w:p>
    <w:p w:rsidR="007E68D9" w:rsidRPr="007E68D9" w:rsidRDefault="007E68D9" w:rsidP="007E68D9">
      <w:pPr>
        <w:numPr>
          <w:ilvl w:val="0"/>
          <w:numId w:val="12"/>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совместная с другими ведомствами разработка и принятие стандартов в сфере ИКТ, обязательных для органов государственной власти; </w:t>
      </w:r>
    </w:p>
    <w:p w:rsidR="007E68D9" w:rsidRPr="007E68D9" w:rsidRDefault="007E68D9" w:rsidP="007E68D9">
      <w:pPr>
        <w:numPr>
          <w:ilvl w:val="0"/>
          <w:numId w:val="12"/>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разрешение конфликтов интересов между органами государственной власти в сфере использования ИКТ. </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4.2.2.5. Также необходимо предусмотреть возложение на данный орган функции по координации деятельности государственных заказчиков и осуществлению финансирования координирующей, научной, методической и экспертной деятельности.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IV.2.3. Механизмы саморегулирования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4.2.3.1.Государственная политика в секторе ИКТ, в соответствии с принципом адекватности мер государственного регулирования, должна представлять собой минимально необходимое вмешательство в деятельность участников рынка. Однако правильное развитие сектора ИКТ без создания правил регулирования всех значимых участков деятельности невозможно. Решение указанных вопросов наиболее эффективным образом возможно путем использования механизмов саморегулирования.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4.2.3.2. Задачи государственных органов в этой сфере должны заключаться в создании условий для возникновения саморегулируемых организаций участников рынка, которые, </w:t>
      </w:r>
      <w:r w:rsidRPr="007E68D9">
        <w:rPr>
          <w:rFonts w:ascii="Times New Roman" w:eastAsia="Times New Roman" w:hAnsi="Times New Roman" w:cs="Times New Roman"/>
          <w:sz w:val="24"/>
          <w:szCs w:val="24"/>
          <w:lang w:eastAsia="ru-RU"/>
        </w:rPr>
        <w:lastRenderedPageBreak/>
        <w:t>при достаточной устойчивости собственной работы, могут осуществлять и отдельные государственные полномочия. Для возникновения и нормального функционирования подобных организаций должен планомерно реализовываться принцип гарантий прав саморегулируемых организаций. Создание и широкое распространение саморегулируемых организаций, эффективное осуществление ими своих полномочий возможно только в условиях обеспечения стабильности правового положения саморегулируемых организаций, гарантий свободного осуществления последними своих прав. В то же время, наделение саморегулируемых организаций полномочиями должно сочетаться с установлением ответственности за реализацию предоставленных полномочий. Это также способствует повышению стабильности деятельности саморегулируемых организаций и повышению эффективности применяемых механизмов саморегулирования. Необходимо также создание механизмов ответственности саморегулируемых организаций перед участниками рынка в части защиты прав и законных интересов последних.</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4.2.3.3. Саморегулируемые организации участников рынка могут осуществлять функции выработки правил поведения на рынках, выработки стандартов и подтверждения соответствия им деятельности участников рынка либо производимой участниками рынка продукции, функции разрешения споров и наложения мер ответственности на участников рынка, допустивших отдельные нарушения правил, функцию защиты прав пользователей. Особым направлением деятельности должна стать выработка методик, необходимых участникам рынка. Разработка методик, связанных с деятельностью самих саморегулируемых организаций, должна входить в число задач государственных органов, осуществляющих регулирование в секторе ИКТ, и прежде всего, межведомственного координирующего органа.</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4.2.3.4. Создание саморегулируемых организаций участников рынка должно сочетаться с развитием других, не связанных с саморегулируемыми организациями, механизмов саморегулирования: кодексов поведения участников рынка, форумов и иных подобных средств.</w:t>
      </w:r>
    </w:p>
    <w:p w:rsidR="007E68D9" w:rsidRPr="007E68D9" w:rsidRDefault="007E68D9" w:rsidP="007E68D9">
      <w:pPr>
        <w:spacing w:before="100" w:beforeAutospacing="1" w:after="100" w:afterAutospacing="1"/>
        <w:jc w:val="left"/>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IV.2.4. Механизмы разрешения споров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4.2.4.1. Необходимо создание механизмов разрешения споров информационного характера, адекватных по срокам и стоимости осуществляемым транзакциям. Указанная проблема может быть решена на основании третейских и административных процедур разрешения споров, возникающих в связи с использованием ИКТ.</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4.2.4.2. Для создания соответствующих механизмов разрешения споров необходимо предпринять меры по совершенствованию законодательства о третейском судопроизводстве. В частности, необходимо законодательно закрепить возможность упрощенного порядка создания третейских судов ad hoc, использования электронного документооборота при рассмотрении и разрешении споров, усовершенствовать процедуры пересмотра и принудительного исполнения третейских решений.</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4.2.4.3. Административные процедуры могут быть эффективно применены для рассмотрения споров, возникающих вследствие информационного взаимодействия в рамках публично-правовых отношений. Однако при создании таких процедур следует учитывать, что орган, осуществляющий рассмотрение споров, не может входить в структуру или находиться в подчинении или зависимости любого рода от любой из спорящих сторон или результатов ее деятельности.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4.2.4.4. Важной задачей является разработка соответствующих методик, необходимых участникам деятельности в ИКТ секторе.</w:t>
      </w:r>
    </w:p>
    <w:p w:rsidR="007E68D9" w:rsidRPr="007E68D9" w:rsidRDefault="007E68D9" w:rsidP="007E68D9">
      <w:pPr>
        <w:spacing w:before="100" w:beforeAutospacing="1" w:after="100" w:afterAutospacing="1"/>
        <w:jc w:val="left"/>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IV.2.5. Система предварительного контроля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4.2.5.1. Меры предварительного контроля (лицензирование, сертификация, регистрация, получение разрешений) требуют серьезного пересмотра с целью повышения их эффективности и предотвращения неоправданных обременений, возникающих в результате их использования. Меры предварительного контроля должны применяться только в тех случаях, когда невозможно защитить права и законные интересы участников рынка иными мерами. По мере совершенствования системы текущего контроля количество предварительных контрольных мер должно сокращаться.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4.2.5.2. Необходимо произвести кодификацию законодательства о </w:t>
      </w:r>
      <w:r w:rsidRPr="007E68D9">
        <w:rPr>
          <w:rFonts w:ascii="Times New Roman" w:eastAsia="Times New Roman" w:hAnsi="Times New Roman" w:cs="Times New Roman"/>
          <w:b/>
          <w:bCs/>
          <w:sz w:val="24"/>
          <w:szCs w:val="24"/>
          <w:lang w:eastAsia="ru-RU"/>
        </w:rPr>
        <w:t>лицензировании</w:t>
      </w:r>
      <w:r w:rsidRPr="007E68D9">
        <w:rPr>
          <w:rFonts w:ascii="Times New Roman" w:eastAsia="Times New Roman" w:hAnsi="Times New Roman" w:cs="Times New Roman"/>
          <w:sz w:val="24"/>
          <w:szCs w:val="24"/>
          <w:lang w:eastAsia="ru-RU"/>
        </w:rPr>
        <w:t xml:space="preserve"> отдельных видов деятельности в ИКТ секторе. Перечень лицензируемых видов деятельности должен устанавливаться в законе "О лицензировании отдельных видов деятельности", на его основании Правительством РФ должны приниматься Положения о лицензировании конкретных видов деятельности. В перечень лицензируемых должны включаться только такие виды деятельности, регулирование которых не может осуществляться иными методами.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Процедура получения лицензий должна основываться на принципах "единомоментности" и "единоместности" (необходимые документы представляются соискателем в соответствующий государственный орган, который и выдает лицензию, все дополнительные согласования производит сам орган); перечень документов, представление которых требуется от соискателя лицензии, должен исчерпывающе устанавливаться в Положениях. Должна быть установлена единая процедура приостановления действия и отзыва лицензии. Основанием отзыва лицензии могут быть только грубые нарушения лицензионных условий, не устраненные после надлежащим образом вынесенного предупреждения.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4.2.5.3. Требование об обязательной </w:t>
      </w:r>
      <w:r w:rsidRPr="007E68D9">
        <w:rPr>
          <w:rFonts w:ascii="Times New Roman" w:eastAsia="Times New Roman" w:hAnsi="Times New Roman" w:cs="Times New Roman"/>
          <w:b/>
          <w:bCs/>
          <w:sz w:val="24"/>
          <w:szCs w:val="24"/>
          <w:lang w:eastAsia="ru-RU"/>
        </w:rPr>
        <w:t>сертификации</w:t>
      </w:r>
      <w:r w:rsidRPr="007E68D9">
        <w:rPr>
          <w:rFonts w:ascii="Times New Roman" w:eastAsia="Times New Roman" w:hAnsi="Times New Roman" w:cs="Times New Roman"/>
          <w:sz w:val="24"/>
          <w:szCs w:val="24"/>
          <w:lang w:eastAsia="ru-RU"/>
        </w:rPr>
        <w:t xml:space="preserve"> должно устанавливаться только федеральным законом. Необходимо развивать систему добровольной сертификации, что можно сделать только путем облегчения совершения необходимых транзакций и повышения авторитетности выдаваемых на ее основе сертификатов.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Процедура обязательной сертификации также должна быть изменена с тем, чтобы не создавать дополнительных трудностей для соискателей. Для этого необходимо установить принципы "единомоментности" и "единоместности", а также положение о том, что все согласования, необходимые для получения сертификата, и заключение соглашений с испытательными лабораториями должен осуществлять сам сертифицирующий орган.</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4.2.5.4.</w:t>
      </w:r>
      <w:r w:rsidRPr="007E68D9">
        <w:rPr>
          <w:rFonts w:ascii="Times New Roman" w:eastAsia="Times New Roman" w:hAnsi="Times New Roman" w:cs="Times New Roman"/>
          <w:b/>
          <w:bCs/>
          <w:sz w:val="24"/>
          <w:szCs w:val="24"/>
          <w:lang w:eastAsia="ru-RU"/>
        </w:rPr>
        <w:t xml:space="preserve"> Регистрация</w:t>
      </w:r>
      <w:r w:rsidRPr="007E68D9">
        <w:rPr>
          <w:rFonts w:ascii="Times New Roman" w:eastAsia="Times New Roman" w:hAnsi="Times New Roman" w:cs="Times New Roman"/>
          <w:sz w:val="24"/>
          <w:szCs w:val="24"/>
          <w:lang w:eastAsia="ru-RU"/>
        </w:rPr>
        <w:t xml:space="preserve"> тех или иных объектов может быть добровольная либо обязательная.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Система добровольной регистрации должна быть создана для учета результатов интеллектуальной деятельности. Данная система должна позволять правообладателям ссылаться на данные реестра для подтверждения своих прав на указанные объекты, а заинтересованным лицам - получать сведения об интересующих их объектах и правах на них.</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Обязательная регистрация может применяться только в тех случаях, когда необходим учет объектов, имеющих важное значение для безопасности Российского государства, а также </w:t>
      </w:r>
      <w:r w:rsidRPr="007E68D9">
        <w:rPr>
          <w:rFonts w:ascii="Times New Roman" w:eastAsia="Times New Roman" w:hAnsi="Times New Roman" w:cs="Times New Roman"/>
          <w:sz w:val="24"/>
          <w:szCs w:val="24"/>
          <w:lang w:eastAsia="ru-RU"/>
        </w:rPr>
        <w:lastRenderedPageBreak/>
        <w:t>объектов, используемых государственными органами и организациями. Учет этот может иметь место, когда есть возможность реально контролировать использование этих объектов (в том числе выявление незарегистрированных), что прежде всего накладывает ограничения по количеству регистрируемых объектов.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Процедура регистрации в обоих случаях должна быть предельно простой: при приобретении объектов либо ввозе их на территорию РФ регистрацию осуществляет продавец либо таможенный орган, а при создании объекта на территории РФ регистрация осуществляется на основании заявки с приложением документов, идентифицирующих указанный объект, направленных в единый регистрирующий орган.</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4.2.5.5.</w:t>
      </w:r>
      <w:r w:rsidRPr="007E68D9">
        <w:rPr>
          <w:rFonts w:ascii="Times New Roman" w:eastAsia="Times New Roman" w:hAnsi="Times New Roman" w:cs="Times New Roman"/>
          <w:b/>
          <w:bCs/>
          <w:sz w:val="24"/>
          <w:szCs w:val="24"/>
          <w:lang w:eastAsia="ru-RU"/>
        </w:rPr>
        <w:t xml:space="preserve"> Разрешения на приобретение и использование </w:t>
      </w:r>
      <w:r w:rsidRPr="007E68D9">
        <w:rPr>
          <w:rFonts w:ascii="Times New Roman" w:eastAsia="Times New Roman" w:hAnsi="Times New Roman" w:cs="Times New Roman"/>
          <w:sz w:val="24"/>
          <w:szCs w:val="24"/>
          <w:lang w:eastAsia="ru-RU"/>
        </w:rPr>
        <w:t>могут требоваться только в том случае, если нельзя регулировать оборот данных объектов методами сертификации, лицензирования либо регистрации.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Разрешения на приобретение и использование могут требоваться в отношении только тех объектов, использование которых может, в зависимости от конкретных обстоятельств такого использования, создать угрозу воздействия, опасного для жизни и здоровья человека и окружающей среды, повлечь возникновение существенных помех нормальной работе систем, имеющих общественное значение, а также нанести существенный вред общественным и государственным интересам.</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Процедура выдачи разрешений не должна влечь необоснованных затруднений для соискателя. На соискателя не может быть возложено требование согласования в различных органах возможности выдачи разрешения.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4.2.5.6. Кроме того, для всех указанных институтов следует законодательно установить </w:t>
      </w:r>
      <w:r w:rsidRPr="007E68D9">
        <w:rPr>
          <w:rFonts w:ascii="Times New Roman" w:eastAsia="Times New Roman" w:hAnsi="Times New Roman" w:cs="Times New Roman"/>
          <w:b/>
          <w:bCs/>
          <w:sz w:val="24"/>
          <w:szCs w:val="24"/>
          <w:lang w:eastAsia="ru-RU"/>
        </w:rPr>
        <w:t>ответственность</w:t>
      </w:r>
      <w:r w:rsidRPr="007E68D9">
        <w:rPr>
          <w:rFonts w:ascii="Times New Roman" w:eastAsia="Times New Roman" w:hAnsi="Times New Roman" w:cs="Times New Roman"/>
          <w:sz w:val="24"/>
          <w:szCs w:val="24"/>
          <w:lang w:eastAsia="ru-RU"/>
        </w:rPr>
        <w:t xml:space="preserve"> лиц, осуществляющих соответствующие разрешительные или правоустанавливающие действия (например, в случаях проведения непрофессиональных или недобросовестных сертификаций).</w:t>
      </w:r>
    </w:p>
    <w:p w:rsidR="007E68D9" w:rsidRPr="007E68D9" w:rsidRDefault="007E68D9" w:rsidP="007E68D9">
      <w:pPr>
        <w:spacing w:before="100" w:beforeAutospacing="1" w:after="100" w:afterAutospacing="1"/>
        <w:jc w:val="left"/>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IV.2.6. Интеграция в мировое информационное пространство</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4.2.6.1. Проблема интеграции связана с реализацией принципа совместимости с международным информационным пространством – как технической, так и правовой. Техническая совместимость (унификация интерфейсов, протоколов, стандартов передачи данных и адресации) является необходимым, но отнюдь не достаточным условием интеграции. Без принятия соответствующих правовых и организационных мер создание необходимого уровня общественных отношений в этой области будет невозможным.</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4.2.6.2. Правовая совместимость связана, прежде всего, с необходимостью гармонизации национального законодательства разных стран, с созданием наднациональных правил регулирования деятельности в секторе ИКТ. Многие акты подобного уровня уже приняты на уровне Всемирной Торговой Организации (Соглашение по базовым телекоммуникациям, Соглашение по техническим барьерам в торговле, Соглашение по торговым аспектам прав интеллектуальной собственности), на уровне Комиссии по международному торговому праву ООН, на уровне иных международных межправительственных и неправительственных организаций. Положения этих актов должны имплементироваться в национальное законодательство, причем процесс их имплементации должен быть связан с исследованием национальной правовой системы и зарубежного опыта применения указанных норм, чтобы не допустить механического перенесения модельных норм в национальные правовые акты. Нормы, выработанные на </w:t>
      </w:r>
      <w:r w:rsidRPr="007E68D9">
        <w:rPr>
          <w:rFonts w:ascii="Times New Roman" w:eastAsia="Times New Roman" w:hAnsi="Times New Roman" w:cs="Times New Roman"/>
          <w:sz w:val="24"/>
          <w:szCs w:val="24"/>
          <w:lang w:eastAsia="ru-RU"/>
        </w:rPr>
        <w:lastRenderedPageBreak/>
        <w:t>международном уровне, должны встраиваться в национальную правовую систему, преобразовываясь в соответствии с ее особенностями.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4.2.6.3. Россия должна активно участвовать в создании новых модельных актов, регулирующих вопросы, связанные с ИКТ. Это позволит на более ранних этапах согласовать развитие национального законодательства с общей линией развития зарубежного нормотворчества, перенять опыт зарубежных стран и отстоять собственные интересы при совместной работе над документом.</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4.2.6.4. Необходимо решить проблемы, связанные с перестройкой порядка перемещения через границу РФ объектов интеллектуальной собственности и объектов, содержащих ИКТ. Необходимо найти компромиссное решение между обязанностью РФ соблюдать международные соглашения в области нераспространения технологий военного и двойного назначения и фактической неэффективностью механизмов контроля за перемещением информации в глобальных информационных системах.</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IV.3. Информационное взаимодействие</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4.3.1. Основной задачей регулирования информационного взаимодействия является создание системы гарантий прав граждан и юридических лиц в этой области. Особое значение имеет создание системы гарантий права на доступ к информации. Это право в настоящий момент законодательно практически не раскрыто, что требует принятия на уровне закона комплекса норм, обеспечивающих его соблюдение. Раскрыть содержание этого права необходимо в рамках актов, определяющих статус государственных информационных ресурсов и систем.</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4.3.2. В связи с наличием специальных норм в различных нормативных правовых актах требуется систематизация и составление единого унифицированного перечня информации, доступ к которой не может быть ограничен. Для реализации гарантии открытости деятельности государственных органов необходимо законодательно определить перечень информации, доводимой последними в обязательном порядке без соответствующих запросов до граждан, средств массовой информации и других субъектов. Отдельно должны быть сформулированы условия доступа к информации с ограниченным доступом.</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4.3.3. Реализация права субъектов информационных отношений на доступ к информации подразумевает необходимость создания системы уполномоченных государственных органов или их структурных подразделений, специализирующихся на создании и поддержке информационных ресурсов. Данные субъекты должны создать и поддерживать иерархическую распределенную систему информационных ресурсов, отражающих структуру государственной власти и административно-территориальное деление в Российской Федерации.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4.3.4. Для обеспечения эффективного доступа к государственным информационным ресурсам необходимо провести работы по их консолидации и учету. Первым шагом должна быть инвентаризация всех существующих ресурсов, в результате которой должен быть сформирован единый реестр информационных ресурсов государственных органов. Дальнейшая работа в этой области должна быть направлена на выявление предметных задач, для решения которых должны создаваться и поддерживаться государственные информационные ресурсы, выявление дублирующих друг друга ресурсов, ресурсов, которые необходимо расширять или создавать заново. Должен быть налажен процесс обмена информацией между ресурсами различных государственных органов, что требует </w:t>
      </w:r>
      <w:r w:rsidRPr="007E68D9">
        <w:rPr>
          <w:rFonts w:ascii="Times New Roman" w:eastAsia="Times New Roman" w:hAnsi="Times New Roman" w:cs="Times New Roman"/>
          <w:sz w:val="24"/>
          <w:szCs w:val="24"/>
          <w:lang w:eastAsia="ru-RU"/>
        </w:rPr>
        <w:lastRenderedPageBreak/>
        <w:t>работы по выработке и нормативному закреплению единства форм предоставления и хранения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4.3.5. Должен быть установлен принцип ответственности уполномоченных органов за достоверность, открытость, полноту и актуальность предоставляемой информации. На них должна быть возложена обязанность обеспечивать достоверность содержащейся в соответствующих ресурсах информации, ее актуализацию и восстановление в случаях необходимости.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4.3.6. В рамках финансового законодательства должен быть установлен порядок и организационные основы финансирования деятельности по формированию и развитию единого информационного пространства органов государственной власти. Финансово-материальное обеспечение информатизации органов государственной власти является одной из базовых гарантий нормального функционирования государственных информационных ресурсов и систем. Кроме того, должны быть созданы жесткие механизмы контроля за эффективностью использования выделяемых средств и привлечения нарушителей установленного порядка расходования к ответственности.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4.3.7. Формирование государственных информационных ресурсов требует решения вопроса о процедурах предоставления информации государственным органам для формирования государственных информационных ресурсов. Установление обязанностей по предоставлению информации в государственные информационные ресурсы не должно накладывать неоправданных ограничений на граждан и организаций. Необходимо оптимизировать структуру государственных информационных ресурсов таким образом, чтобы сократить количество запросов о предоставлении информации и упростить сами процедуры предоставления информации, в том числе, путем перехода к электронному документообороту.</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4.3.8. Большое значение имеет вопрос о защите персональных данных граждан. Хотя определенные шаги в этом направлении были приняты, необходимо дальнейшее развитие этого законодательного института с целью создания необходимых гарантий прав граждан при использовании персональных данных этих лиц. Необходимо выработать методики работы с персональными данными, их сбора, хранения и защиты. Должны быть установлены меры ответственности государственных органов и организаций в случае нарушения установленного порядка обращения с персональными данными или их разглашения.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4.3.9. Необходимо также решить вопрос о защите других видов конфиденциальной информации, в том числе государственной конфиденциальной информации и конфиденциальной информации юридических лиц. Все виды конфиденциальной информации должны быть объединены в систему, должны быть устранены пробелы в регулировании отдельных видов такой информации и сферы двойного регулирования. Порядок доступа и меры по защите конфиденциальной информации должны различаться в зависимости от вида конфиденциальности. Также в зависимости от вида должны отличаться и меры ответственности, применяемые при нарушении порядка работы с конфиденциальной информацией.</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4.3.10. Информационному взаимодействию органов государственной власти с субъектами информационных отношений не должны препятствовать механизмы защиты информации, а также механизмы защиты прав на объекты интеллектуальной собственности в сфере ИКТ. В частности, с правообладателями объектов интеллектуальной собственности, служащих для организации информационных ресурсов и систем, должны заключаться </w:t>
      </w:r>
      <w:r w:rsidRPr="007E68D9">
        <w:rPr>
          <w:rFonts w:ascii="Times New Roman" w:eastAsia="Times New Roman" w:hAnsi="Times New Roman" w:cs="Times New Roman"/>
          <w:sz w:val="24"/>
          <w:szCs w:val="24"/>
          <w:lang w:eastAsia="ru-RU"/>
        </w:rPr>
        <w:lastRenderedPageBreak/>
        <w:t>специальные соглашения, гарантирующие свободный обмен соответствующими документами и массивами документов.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4.3.11. Важной проблемой регулирования информационного взаимодействия является то, что в настоящий момент в системе субъектов информационных отношений при использовании ИКТ отсутствует такой субъект, как информационный провайдер (посредник), который не инициирует общественное отношение с пользователями, но имеет организационно-техническую возможность влиять на него. Это приводит к усложнению защиты прав и интересов лиц в информационных отношениях. Этот пробел необходимо ликвидировать на законодательном уровне, определив статус названного субъекта и пределы его ответственности за действия лиц, использующих принадлежащие ему ресурсы и системы.</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4.3.12. Требует решения вопрос о статусе средств массовой информации - электронных периодических изданий. Необходимо выработать правила отграничения СМИ от иных информационных ресурсов сети Интернет. Правила, регулирующие деятельность СМИ, в том числе вопросы их ответственности за злоупотребление свободой массовой информации, должны в необходимых случаях распространяться на основании судебного решения на иные информационные ресурсы, фактически осуществляющие деятельность средства массовой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IV.4. Телекоммуникационные и информационные услуги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4.4.1. Порядок регулирования деятельности в области связи требует пересмотра. В частности, должен быть пересмотрен порядок лицензирования и перечень выдаваемых лицензий. Представляется целесообразным отменить лицензирование большинства видов деятельности в области связи, возложив основную контрольную нагрузку на процедуру сертификации используемых средств и оборудования связи. При этом сами процедуры лицензирования и сертификации должны быть существенно усовершенствованы с целью снижения сложности их прохождения и повышения их эффективности.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4.4.2. Контроль за деятельностью мелких операторов, предоставляющих отдельные услуги, может быть снижен без риска увеличения на рынке доли операторов, предоставляющих услуги ненадлежащего качества. Порядок выхода организации на рынок услуг связи должен быть существенно упрощен. В отношении обеспечения качества операторов и защиты прав потребителей следует использовать процедуры, предусмотренные действующим гражданским законодательством. Необходимо также разграничивать требования, предъявляемые к операторам, оказывающим телекоммуникационные и информационные услуги, серьезно сократив меры предварительного контроля в отношении последних.</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4.4.3. Вместе с тем, за деятельностью операторов, предоставляющих т.н. “универсальные услуги связи” или использующих ограниченные ресурсы для оказания своих услуг, должен осуществляться контроль со стороны органов надзора за связью, а также антимонопольных органов. Лицензирование в области связи должно стать механизмом доступа к ограниченным ресурсам или на рынок “универсальных услуг”, а не на рынок услуг связи вообще, как в настоящий момент. Должен быть пересмотрен порядок определения тарифов на услуги связи, предоставляемые “универсальными” операторами, а также механизм перекрестного субсидирования, имеющий место в отрасли.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4.4.4. Необходимо осуществлять постепенный переход от мер предварительного контроля и прямого административного регулирования к мерам, направленным на развитие и </w:t>
      </w:r>
      <w:r w:rsidRPr="007E68D9">
        <w:rPr>
          <w:rFonts w:ascii="Times New Roman" w:eastAsia="Times New Roman" w:hAnsi="Times New Roman" w:cs="Times New Roman"/>
          <w:sz w:val="24"/>
          <w:szCs w:val="24"/>
          <w:lang w:eastAsia="ru-RU"/>
        </w:rPr>
        <w:lastRenderedPageBreak/>
        <w:t>поддержание конкурентной среды, совершенствованию форм судебной защиты прав и законных интересов участников рынка. Требует решения в законодательстве вопрос о предоставлении доступа к сетям связи общего пользования и присоединения сетей операторов связи.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4.4.5. Требует реформирования система государственных органов, осуществляющих контроль и надзор в телекоммуникационном секторе. Необходимо пересмотреть полномочия указанных органов с целью устранить их дублирование и пробелы. Должны быть пересмотрены полномочия органов, позволяющие принимать решения о приостановлении либо прекращении деятельности участников рынка, наложении на участников рынка мер взыскания без рассмотрения дела по существу. Требует усовершенствования и процедура обжалования подобных решений.</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4.4.6. Важной является проблема обеспечения качества предоставляемых информационных и телекоммуникационных услуг. Качество предоставляемых информационно-коммуникационных услуг в российском сегменте на сегодняшний день не удовлетворяет общепринятым международным требованиям, прежде всего, за счет использования устаревшего коммуникационного оборудования. Для обновления технической базы необходимо смягчить установленные ограничения на эксплуатацию импортного оборудования и технологических средств, создавать условия для формирования финансовой базы долгосрочных инвестиций. Необходимо формировать условия для развития систем добровольной сертификации и стандартизации.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4.4.7. Государственная политика в области развития ИКТ должна основываться на сочетании использования передовых западных технологий, решений и оборудования с поддержкой национального частного ИКТ сектора. Это возможно путем пересмотра политики в отношении использования коммуникационного оборудования и средств защиты информации, произведенных иностранными компаниями; признания сертификатов крупных положительно зарекомендовавших себя западных производителей; разработки новых методик оценки качества услуг, оказываемых информационными и телекоммуникационными провайдерами; приведение системы протоколов и стандартов передачи данных в соответствие международным нормам и стандартам.</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IV.5. Интеллектуальная собственность</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4.5.1. Законодательство в сфере интеллектуальной собственности в настоящее время является довольно развитой отраслью законодательства, сравнительно успешно реализующей поставленные перед ней задачи. Однако число проблем, требующих скорейшего решения, довольно велико и в этой области. Это обуславливает необходимость принятия активных мер по устранению существующих в настоящее время проблем и развитию законодательства в этой области.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4.5.2. Одной из основных является проблема нахождения баланса частного интереса, закрепленного институтами исключительных прав, и общественного интереса (общественной пользы), заключающегося в необходимости обеспечения доступа к информации субъектов информационных отношений. В связи с этим необходима четкая предметная дифференциация регулирования исключительных прав на объекты интеллектуальной собственности нормами частного права и прав доступа к информации - нормами публичного права, сочетающаяся с координацией и гармонизацией частноправовых и публично-правовых подходов.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4.5.3. Необходимо пересмотреть систему регулирования различных видов объектов исключительных прав, с тем чтобы устранить конфликты с обладателями прав на сходные по форме объекты. Для этого необходимо формализовать в нормах законодательства ряд наиболее значимых проблем, в частности, проблем соотношения прав на товарный знак, фирменное наименование c правами на доменное имя.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4.5.4. Необходимо совершенствовать правовое регулирование новых объектов исключительных прав, таких как программы для ЭВМ, базы данных, топологии интегральных микросхем. В частности, отнесение баз данных к объектам авторского права уже не отвечает комплексному характеру данных объектов.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4.5.5. Требуют совершенствования механизмы передачи прав на объекты интеллектуальной собственности на исключительных и неисключительных условиях. Подобные механизмы должны быть существенно упрощены за счет снижения государственного контроля за их осуществлением, с учетом необходимости дальнейшего совершенствования гарантий прав создателей объектов интеллектуальной собственности и законных правообладателей указанных объектов. В рамках данного направления регулирования необходимо осуществлять и дальнейшее развитие института служебных произведений. Должны быть усовершенствованы механизмы учета прав на объекты исключительной собственности в качестве нематериальных активов.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4.5.6. Особое внимание необходимо уделить созданию эффективной системы фиксации прав на результаты интеллектуальной деятельности. Необходимо развивать систему регистрации произведений и объектов промышленной собственности, пропагандировать использование авторами служб, осуществляющих такую регистрацию. Регистрация объектов интеллектуальной собственности, права на которые принадлежат государству, должна осуществляться в обязательном порядке.</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4.5.7. В отношении объектов интеллектуальной собственности, права на которые принадлежат государству и созданных за счет средств государственного бюджета, необходимо создать механизмы предоставления и передачи прав на их использование. Должны быть определены основания и процедуры передачи таких прав, ограничения случаев их передачи. Необходимо на законодательном уровне определить основания и порядок осуществления выплат за использование объектов интеллектуальной собственности, права на которые принадлежат государству.</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4.5.8. Необходимо устранить пробел, связанный с регулированием деятельности электронных библиотек. Действующий Закон об авторском праве делает определенные льготы в отношении использования произведений библиотеками, но не позволяет им ни оцифровывать (воспроизводить) произведение, ни размещать произведение на сайте без разрешения правообладателя и выплаты авторского вознаграждения. Для решения этой проблемы необходимо принять меры по гармонизации законодательства об ИКТ и законодательства о библиотечном и архивном деле.</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4.5.9. Развитие законодательства об интеллектуальной собственности должно быть направлено на гармонизацию с общемировыми подходами к регулированию этой сферы общественных отношений. Для интеграции отечественного рынка объектов интеллектуальной собственности с общемировым должны быть созданы четкие и однозначные процедуры таможенного оформления и контроля экспорта и импорта программного обеспечения и других объектов интеллектуальной собственности, а также оказания информационных услуг посредством телекоммуникационных сетей. В то же время должны быть созданы условия для выполнения международных обязательств РФ по </w:t>
      </w:r>
      <w:r w:rsidRPr="007E68D9">
        <w:rPr>
          <w:rFonts w:ascii="Times New Roman" w:eastAsia="Times New Roman" w:hAnsi="Times New Roman" w:cs="Times New Roman"/>
          <w:sz w:val="24"/>
          <w:szCs w:val="24"/>
          <w:lang w:eastAsia="ru-RU"/>
        </w:rPr>
        <w:lastRenderedPageBreak/>
        <w:t>контролю за экспортом технологий двойного назначения. Подобный контроль должен преимущественно осуществляться не силами таможенных органов и органов федеральной пограничной службы, а за счет контроля за лицами, осуществляющими работу с такими объектами на территории РФ.</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IV.6. Защита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4.6.1. Существующее в настоящий момент чрезмерно жесткое регулирование оборота средств защиты информации и средств ЭЦП существенно сдерживает развитие данного рынка. Необходим постепенный переход к более мягким формам контроля за счет дифференциации требований к средствам защиты информации и ЭЦП в зависимости от заявленного уровня их надежности постепенного перехода от мер предварительного контроля к контролю текущему.</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4.6.2. Необходимо разработать систему правовых и организационных мер, позволяющих снизить уровень правовых ограничений в области защиты информации при сохранении необходимого уровня надежности деятельности в этой области и используемых средств защиты информации. При этом важно последовательно проводить в законодательстве принцип дифференциации правового регулирования деятельности в области защиты информации в зависимости от важности соответствующей области общественных отношений. Прежде всего, целесообразно ввести разделение криптографии на гражданскую и предназначенную для нужд обороны и безопасности (предельно точно установив критерий разделения), что позволит облегчить систему сертификации, лицензирования и снять экспортно-импортные ограничения для гражданской криптографии.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4.6.3. Требует пересмотра система регулирующих органов в области защиты информации. Необходимо разграничить полномочия органов, осуществляющих сертификацию и лицензирование в области защиты информации, и органов, осуществляющих разработку и поддержание информационных систем государственных органов. Возможно разграничить также полномочия органов, осуществляющих регулирование оборота гражданских средств защиты информации и средств, предназначенных для обеспечения нужд обороны и безопасности.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4.6.4. Необходимо совершенствовать механизмы использования средств защиты информации и средств ЭЦП. Регулирование этих сфер должно быть тщательно разграничено с целью устранения неоправданных обременений, накладываемых на деятельность участников рынка в силу распространения на них по формальными признакам требований, установленных актами разных отраслей. Должна быть создана система нормативных актов и методических рекомендаций, позволяющих участникам данного вида деятельности осуществлять все принадлежащие им права и эффективно обеспечивать надежность используемых ими средств защиты информации и средств ЭЦП.</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IV.7. Электронная коммерция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4.7.1. Решение проблемы правовой защиты сделок, заключаемых при помощи электронных средств, требует создания эффективного правового механизма использования средств электронного документооборота и аналогов собственноручной подписи (АСП). Система нормативных актов, регулирующих указанные отношения, должна включать закон об ЭЦП, но не ограничиваться им. Необходимо создать цельный массив законодательства, устанавливающий систему использования всех видов аналогов собственноручной подписи и электронных средств, используемых в электронной </w:t>
      </w:r>
      <w:r w:rsidRPr="007E68D9">
        <w:rPr>
          <w:rFonts w:ascii="Times New Roman" w:eastAsia="Times New Roman" w:hAnsi="Times New Roman" w:cs="Times New Roman"/>
          <w:sz w:val="24"/>
          <w:szCs w:val="24"/>
          <w:lang w:eastAsia="ru-RU"/>
        </w:rPr>
        <w:lastRenderedPageBreak/>
        <w:t>коммерции. Указанные нормативные акты должны решать как частноправовые, так и публично-правовые аспекты регулирования в этой области.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4.7.2. Законодательство об аналогах собственноручной подписи и средствах электронного документооборота должно раскрывать положения гражданского законодательства о заключении сделок с использованием таких средств. В частности, необходимо создать механизм согласования условий использования АСП и электронных средств, механизм распределения обязанностей и рисков между сторонами, использующими АСП и электронные средства, принципы ответственности сторон за недобросовестные действия в этой области. Должны быть раскрыты публично-правовые требования к использованию АСП и электронных средств. Должна быть создана система контроля и надзора за деятельностью лиц, оказывающих услуги по подтверждению АСП и использованию электронных средств, разработаны механизмы лицензирования деятельности и сертификации средств электронного документооборота и АСП.</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4.7.3. Для развития системы расчетов с использованием компьютерных сетей необходимо совершенствовать законодательство о безналичных расчетах и о банковских картах. Нормы указанных актов должны раскрывать механизмы осуществления расчетов с использованием компьютерных сетей, устанавливать права и обязанности сторон, способы фиксации существенной для сделок информации. Необходимо также создать правовые механизмы распределения рисков, связанных с использованием новых способов расчетов. Положения указанных актов должны быть согласованы также с финансовым законодательством и законодательством о ценных бумагах, что потребует пересмотра положений некоторых актов данных отраслей законодательства.</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4.7.4. Необходимо сделать нормы законодательства, регулирующего электронную коммерцию, более нейтральными к иностранному элементу. Нормы законодательства о валютном и экспортном контроле, таможенного законодательства не должны накладывать на участников деятельности в области электронной коммерции неоправданных ограничений только на том основании, что контрагентом по сделке является субъект иностранного правопорядка. Кроме того, нормы указанных отраслей законодательства не должны создавать неоправданных барьеров для товарных и денежных потоков. Необходимо принимать меры по гармонизации национального регулирования в области электронной коммерции и зарубежных подходов к решению сходных вопросов.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4.7.5. Политика государства в области защиты прав потребителей должна быть направлена на повышение эффективности судебной защиты их прав и законных интересов, на создание механизмов саморегулирования участников рынка электронной коммерции. Основной задачей должно стать эффективное возмещение убытков, причиненных потребителям действиями, нарушающие их права и законные интересы.</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4.7.6. Использование механизмов саморегулирования должно быть приоритетным способом решения проблем в области электронной коммерции. Задачами государства в этой области должны стать создание системы гарантий прав саморегулируемых организаций, разработка методик и рекомендаций по использованию механизмов саморегулирования участниками электронной коммерции.</w:t>
      </w:r>
    </w:p>
    <w:p w:rsidR="007E68D9" w:rsidRPr="007E68D9" w:rsidRDefault="007E68D9" w:rsidP="007E68D9">
      <w:pPr>
        <w:spacing w:before="100" w:beforeAutospacing="1" w:after="100" w:afterAutospacing="1"/>
        <w:jc w:val="left"/>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V. Прочие средства развития сектора ИКТ</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V.1. Исследования законодательства и практики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5.1.1. Совершенствование законодательства в сфере ИКТ в России должно быть основано на систематическом мониторинге действующих нормативно-правовых актов и проведении исследований, направленных на выявление основных проблем в секторе ИКТ и путей их решения. Результаты исследований законодательства должны быть использованы при разработке проектов нормативных актов.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5.1.2. Должны быть осуществлены прикладные исследования, направленные на разработку методик, перечней документов, процедур разрешения споров и других документов, ориентированных на обеспечение функционирования механизмов саморегулирования в отдельных отраслях сектора ИКТ.</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5.1.3. Кроме того, необходимо провести исследования следующих вопросов:</w:t>
      </w:r>
    </w:p>
    <w:p w:rsidR="007E68D9" w:rsidRPr="007E68D9" w:rsidRDefault="007E68D9" w:rsidP="007E68D9">
      <w:pPr>
        <w:numPr>
          <w:ilvl w:val="0"/>
          <w:numId w:val="13"/>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Структура и иерархия государственного управления. Задачей исследования является оптимизация информационных и информационно-управленческих процессов в государственных органах. </w:t>
      </w:r>
    </w:p>
    <w:p w:rsidR="007E68D9" w:rsidRPr="007E68D9" w:rsidRDefault="007E68D9" w:rsidP="007E68D9">
      <w:pPr>
        <w:numPr>
          <w:ilvl w:val="0"/>
          <w:numId w:val="13"/>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Соотношение регулирования сектора ИКТ в центре и на местах. Задачей исследования является устранение барьеров на пути создания единого правового и информационного пространства Российской Федерации. </w:t>
      </w:r>
    </w:p>
    <w:p w:rsidR="007E68D9" w:rsidRPr="007E68D9" w:rsidRDefault="007E68D9" w:rsidP="007E68D9">
      <w:pPr>
        <w:numPr>
          <w:ilvl w:val="0"/>
          <w:numId w:val="13"/>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Консолидация государственных информационных ресурсов. Задачей исследования является определение оптимальной структуры государственных информационных ресурсов, необходимых для осуществления прав граждан и юридических лиц, для нормальной работы государственных органов. </w:t>
      </w:r>
    </w:p>
    <w:p w:rsidR="007E68D9" w:rsidRPr="007E68D9" w:rsidRDefault="007E68D9" w:rsidP="007E68D9">
      <w:pPr>
        <w:numPr>
          <w:ilvl w:val="0"/>
          <w:numId w:val="13"/>
        </w:num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Изучение иностранных правовых актов и правоприменительной практики, в сфере регулирования использования ИКТ. Задачей исследования является систематизация зарубежного опыта регулирования сходных общественных отношений, определение путей его использования в отечественной законодательной и правоприменительной практики. </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V.2. Методики и рекомендации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5.2.1. Разработка методик и рекомендаций должна опираться на исследования, предусмотренные настоящей Концепцией. Методики и рекомендации могут быть использованы как участниками хозяйственного оборота, так и органами государственной власти. При этом методики и рекомендации должны охватывать области, в которых, несмотря на достаточно развитую правовую базу, правоприменение затруднено в связи с объективной сложностью отношений, подлежащих регулированию. Это не исключает необходимости выработки методик во всех остальных отраслях, как инструмента ненормативной организации общественных отношений, гармонизации взаимодействия между участниками той или иной сферы деятельности. Методические материалы могут касаться отношений как гражданско-правовой, так и публично-правовой сфер.</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5.2.2.Особой сферой разработки методик и рекомендаций должен стать нормотворческий процесс. Должна быть разработана система мер, позволяющих оценить эффективность проводимой законодательной политики, действенность разработанных нормативных актов, пути корректировки существующих актов и основные приоритеты в разработке новых нормативных актов.</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5.2.3. Методики должны определять перечень задач, подлежащих решению в рамках указанной деятельности, определять основных участников реализации задач, их права обязанности, этапы их деятельности. Должны быть предусмотрены основные формы и </w:t>
      </w:r>
      <w:r w:rsidRPr="007E68D9">
        <w:rPr>
          <w:rFonts w:ascii="Times New Roman" w:eastAsia="Times New Roman" w:hAnsi="Times New Roman" w:cs="Times New Roman"/>
          <w:sz w:val="24"/>
          <w:szCs w:val="24"/>
          <w:lang w:eastAsia="ru-RU"/>
        </w:rPr>
        <w:lastRenderedPageBreak/>
        <w:t>методы контроля за правильностью осуществления деятельности, типичные проблемные ситуации и формы их разрешения.</w:t>
      </w:r>
    </w:p>
    <w:p w:rsidR="007E68D9" w:rsidRPr="007E68D9" w:rsidRDefault="007E68D9" w:rsidP="007E68D9">
      <w:pPr>
        <w:spacing w:before="100" w:beforeAutospacing="1" w:after="100" w:afterAutospacing="1"/>
        <w:ind w:left="11520"/>
        <w:jc w:val="left"/>
        <w:rPr>
          <w:rFonts w:ascii="Times New Roman" w:eastAsia="Times New Roman" w:hAnsi="Times New Roman" w:cs="Times New Roman"/>
          <w:sz w:val="24"/>
          <w:szCs w:val="24"/>
          <w:u w:val="single"/>
          <w:lang w:eastAsia="ru-RU"/>
        </w:rPr>
      </w:pPr>
      <w:r w:rsidRPr="007E68D9">
        <w:rPr>
          <w:rFonts w:ascii="Times New Roman" w:eastAsia="Times New Roman" w:hAnsi="Times New Roman" w:cs="Times New Roman"/>
          <w:sz w:val="24"/>
          <w:szCs w:val="24"/>
          <w:u w:val="single"/>
          <w:lang w:eastAsia="ru-RU"/>
        </w:rPr>
        <w:t>Приложение 1 к Концепции</w:t>
      </w:r>
    </w:p>
    <w:p w:rsidR="007E68D9" w:rsidRPr="007E68D9" w:rsidRDefault="007E68D9" w:rsidP="007E68D9">
      <w:pPr>
        <w:spacing w:before="100" w:beforeAutospacing="1" w:after="100" w:afterAutospacing="1"/>
        <w:jc w:val="center"/>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Программа законодательной деятельности</w:t>
      </w:r>
    </w:p>
    <w:p w:rsidR="007E68D9" w:rsidRPr="007E68D9" w:rsidRDefault="007E68D9" w:rsidP="007E68D9">
      <w:pPr>
        <w:spacing w:before="100" w:beforeAutospacing="1" w:after="100" w:afterAutospacing="1"/>
        <w:jc w:val="center"/>
        <w:rPr>
          <w:rFonts w:ascii="Times New Roman" w:eastAsia="Times New Roman" w:hAnsi="Times New Roman" w:cs="Times New Roman"/>
          <w:b/>
          <w:bCs/>
          <w:sz w:val="24"/>
          <w:szCs w:val="24"/>
          <w:lang w:eastAsia="ru-RU"/>
        </w:rPr>
      </w:pPr>
      <w:r w:rsidRPr="007E68D9">
        <w:rPr>
          <w:rFonts w:ascii="Times New Roman" w:eastAsia="Times New Roman" w:hAnsi="Times New Roman" w:cs="Times New Roman"/>
          <w:b/>
          <w:bCs/>
          <w:sz w:val="24"/>
          <w:szCs w:val="24"/>
          <w:lang w:eastAsia="ru-RU"/>
        </w:rPr>
        <w:t>по реализации Концепции правового регулирования применения информационных и коммуникационных технологий в Российской Федерации</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1. Изменения в законопроектах, рассматриваемых Государственной Думой</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Положения Концепции должны быть учтены в следующих первоочередных проектах федеральных законов, находящихся сейчас на рассмотрении в Государственной Думе Федерального Собрания РФ:</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1) Проект федерального закона "Об информации персонального характера" (2 проекта: первый внесен депутатом Государственной Думы О.А.Финько, депутатами Государственной Думы второго созыва Ю.М.Нестеровым, Г.К.Волковым, Р.Г.Габидуллиным, В.Е.Цоем; второй - депутаты Государственной Думы А.А.Кравец, О.А.Финько, Ф.А.Клинцевич, И.В.Лебедев, Б.А.Мартынов, А.В.Шубин, К.В.Ветров, П.И.Коваленко). Второй законопроект должен быть преобразован в соответствии с положениями настоящей Концепции, в частности, путем отказа от дополнительных административных процедур, затрудняющих работу лиц, связанных с персональными данными, без создания за счет таких процедур дополнительных гарантий прав граждан. Первый законопроект должен быть снят с рассмотрения в связи с тем, что он основывается на механическом перенесении зарубежных подходов в национальную правовую систему, в частности, путем создания института Уполномоченного по персональным данным.</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2) Проекты федеральных законов "О внесении дополнений в Федеральный закон "Об информации, информатизации и защите информации" (внесен депутатом С.Ю.Глазьевым), "О внесении дополнений в Федеральный Закон "Об участии в международном информационном обмене" (внесен депутатами К.В.Ветровым, А.В.Шубиным, И.В.Лебедевым, П.И.Коваленко, А.А.Кравец, В.О.Семеновым) снять с рассмотрения. ФЗ "Об информации, информатизации и защите информации" должен быть существенно сокращен и не должен регулировать отношения, о которых идет речь в предлагаемых изменениях, а ФЗ "Об участии в международном информационном обмене" должен быть отменен в соответствии с предлагаемыми в настоящей Концепции изменениями в законодательстве.</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3) Проект федерального закона "Об электронной торговле" (внесен депутатами ГД Маевским Л.С., Шубиным А.В., Финько О.А., Волковским В.И.) должен быть существенно переработан в соответствии с требованиями настоящей Концепции. В настоящее время законопроект представляет собой перевод модельного закона об электронной торговле ЮНСИТРАЛ и не интегрирован в действующее российское законодательство. В частности, требует уточнения определение понятия электронной торговли с целью учета основных положений ГК РФ; кроме того, нормы данного законопроекта должны быть приведены в соответствие с Арбитражно-процессуальным и Гражданско-процессуальными кодексами, Федеральным законом об ЭЦП и предусматривать изменения, которые необходимо внести в эти нормативные акты для эффективной реализации данного законопроекта и положений настоящей Концепции.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4) Проекты федерального закона "Об электронном документе" (2 проекта: первый внесен депутатами ГД Л.С.Маевским, П.В.Анохиным, К.В.Ветровым, В.И.Волковским, В.С.Катренко, О.А.Финько, А.В.Шубиным; второй - внесен депутатом ГД В.Я.Комиссаровым) должны быть сняты с рассмотрения в связи с необходимостью создания иной структуры законодательного регулирования отношений, связанных с использованием электронных документов. В частности, основные вопросы, касающиеся признания действительности и авторизации электронных документов должны содержаться в разрабатываемом в соответствии с настоящей Концепцией законе "Об аналогах собственноручной подписи", а вопросы хранения и передачи электронных документов - в законах "Об информации и информационных ресурсах" и "Об электронной торговле". В случае принятия указанных законопроектов необходимость в отдельном законе, регулирующем вопросы использования электронных документов, отпадает.</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5) Проект федерального закона "Об основах технического регулирования в Российской Федерации" (внесен Правительством РФ) должен быть согласован с предлагаемыми в настоящей Концепции изменениями процедур сертификации и стандартизации (принципами "единомоментности" и "единоместности", а также положением о том, что все согласования, необходимые для получения сертификата, и заключение соглашений с испытательными лабораториями должен осуществлять сам сертифицирующий орган) для снижения административного бремени в экономической деятельности и учета основных достижений зарубежного законодательства в этой области.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6) Проект федерального закона "Об административных процедурах" (внесен депутатом ГД В.В.Похмелкиным) требует существенной доработки для учета предлагаемых в настоящей Концепции гарантий прав граждан и юридических лиц при осуществлении информационного взаимодействия, предлагаемых изменений в процедурах лицензирования, сертификации, регистрации и получения разрешений.</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7) Проекты изменений в ФЗ "О связи" (3 проекта: первый внесен Законодательным Собранием Омской области, второй - депутатами ГД РФ В.С. Катренко, Л.С.Маевским, третий - Правительством РФ). Ни один из находящихся в настоящее время в Государственной Думе проектов не отвечает положениям настоящей Концепции и других законопроектов, а также требованиям документов международного уровня. В частности, в них не нашли отражения предлагаемые в настоящей Концепции и в законопроектах о техническом регулировании и административных процедурах предложения по совершенствованию процедур лицензирования, сертификации, регистрации, получения разрешений, распределения ограниченных ресурсов, по снижению административных барьеров. Разработанные на международном уровне положения о присоединении сетей операторов связи и универсальных услугах связи были механически перенесены в данные акты без адаптации их к национальной правовой системе. Кроме того, законопроекты содержат нормы, дублирующие положения гражданского и земельного законодательства в части собственности на объекты и земли связи. В связи с этим требуется разработка нового законопроекта; находящиеся в настоящее время в Государственной Думе законопроекты должны быть сняты с рассмотрения.</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8) Проект федерального закона "О защите прав потребителей услуг телефонной связи" (внесен депутатами ГД А.В.Шишловым, П.Б.Шелищем, С.Ю.Глазьевым, О.В.Шеиным, Р.Г.Гостевым); проект федерального закона "О запрете прекращения оказания услуг телефонной связи без решения суда" (внесен депутатом ГД В.Я.Комиссаровым) снять с рассмотрения, так как входящие в их предмет отношения подлежат регулированию ФЗ "О связи" с учетом предлагаемых в настоящей Концепции изменений.</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Находящиеся в настоящее время на рассмотрении в Государственной Думе проекты законов, регулирующие отношения в области исключительных прав, должны быть доработаны с учетом предложений настоящей Концепции. Необходимая доработка указанных законопроектов потребует значительного количества времени, что не позволяет отнести данные законопроекты к требующим немедленных изменений. Однако подобные изменения должны быть обязательно проведены в связи с исключительной важностью данной сферы правового регулирования для развития отношений с использованием ИКТ.</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2. Первоочередные изменения в действующем законодательстве.</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Внести изменения в закон "Об информации, информатизации и защите информации", сократив "трехглавый" закон, оставив в нем общую систему принципов, дефиниций и категорий в сфере информационных отношений и дополнив понятиями из сферы электронного документооборота. Возможно включение в закон норм, стимулирующих развитие процессов саморегулирования в сфере использования ИКТ. В случае успешного прохождения проекта закона "О праве на доступ к информации" в этом законе должны быть отражены положения о доступе к информации, в противном случае указанные положения должны войти в новую редакцию закона "Об информации, информатизации и защите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 xml:space="preserve">Принять закон "О развитии государственных информационных ресурсов", в котором должны раскрываться понятие единого информационного пространства органов власти Российской Федерации, института регистрации информационных ресурсов и систем, обеспечения права субъектов информационных отношений на доступ к информации, содержащейся в государственных информационных ресурсах. В случае принятия закона "О праве на доступ к информации" все положения о доступе к информации могут быть сконцентрированы в рамках одного закона. Также в законе должен определяться статус </w:t>
      </w:r>
      <w:r w:rsidRPr="007E68D9">
        <w:rPr>
          <w:rFonts w:ascii="Times New Roman" w:eastAsia="Times New Roman" w:hAnsi="Times New Roman" w:cs="Times New Roman"/>
          <w:sz w:val="24"/>
          <w:szCs w:val="24"/>
          <w:lang w:eastAsia="ru-RU"/>
        </w:rPr>
        <w:lastRenderedPageBreak/>
        <w:t>межведомственной комиссии, координирующей развитие и использования ИКТ в государственном управлении.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Принять закон "О персональных данных", в котором определить критерии отнесения информации к категории персональных данных, указать условия и механизмы сбора, использования и доступа к данной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Отменить действие закона "Об участии в международном информационном обмене", включив немногочисленные действующие нормы из такового в закон "Об информации, информатизации и защите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Принять закон "Об аналогах собственноручной подписи". Закон должен восполнять положения ГК РФ о возможности использования аналогов собственноручной подписи с тем, чтобы была создана процедура использования сторонами аналогов собственноручной подписи без предварительного заключения соответствующего соглашения. Законом должна быть предусмотрена общая процедура использования и подтверждения подлинности таких аналогов, а также процедура перевода документа с электронного носителя на бумажный и обратно третьим лицом в отсутствие сторон.</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Принять новую редакцию закона "О связи", отвечающую характеру современных отношений в области связи и телекоммуникаций.</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Следует привести в соответствие с названными первоочередными изменениями действующие акты в сфере информатизации, в том числе, существующие специальные предметные законы Российской Федерации и законы субъектов Российской Федерации.</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3. Изменения в законодательстве, осуществляемые до 2006 года.</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Необходимо произвести до 2006 года следующие изменения в законодательстве.</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Принять закон "Об основах информационной безопасности", систематизировав в нем подходы к данному институту, существовавшие в законе "Об информации, информатизации и защите информации" и подходы, сформированные в рамках научной доктрины.</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Внести изменения в действующее законодательство, направленные на систематизацию институтов лицензирования и сертификации в сфере ИКТ и сокращения количества соответствующих лицензируемых видов деятельности.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Внести изменения в процессуальное законодательство путем определения категории споров, связанных с отказом в предоставлении информации с целью придания рассмотрению названных споров оперативности.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Внести изменения в законодательство о СМИ в части изменения оснований государственной регистрации СМИ (в том числе сетевых СМИ) и ответственности за противоправные действия при распространении массовой информации.</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t>Внести изменения в законодательство об интеллектуальной собственности, предназначенные для актуализации норм в соответствии с характером общественных отношений в сфере ИКТ и потребностями государства, общества и правообладателей.</w:t>
      </w:r>
    </w:p>
    <w:p w:rsidR="007E68D9" w:rsidRPr="007E68D9" w:rsidRDefault="007E68D9" w:rsidP="007E68D9">
      <w:pPr>
        <w:spacing w:before="100" w:beforeAutospacing="1" w:after="100" w:afterAutospacing="1"/>
        <w:jc w:val="left"/>
        <w:rPr>
          <w:rFonts w:ascii="Times New Roman" w:eastAsia="Times New Roman" w:hAnsi="Times New Roman" w:cs="Times New Roman"/>
          <w:b/>
          <w:bCs/>
          <w:i/>
          <w:iCs/>
          <w:sz w:val="24"/>
          <w:szCs w:val="24"/>
          <w:lang w:eastAsia="ru-RU"/>
        </w:rPr>
      </w:pPr>
      <w:r w:rsidRPr="007E68D9">
        <w:rPr>
          <w:rFonts w:ascii="Times New Roman" w:eastAsia="Times New Roman" w:hAnsi="Times New Roman" w:cs="Times New Roman"/>
          <w:b/>
          <w:bCs/>
          <w:i/>
          <w:iCs/>
          <w:sz w:val="24"/>
          <w:szCs w:val="24"/>
          <w:lang w:eastAsia="ru-RU"/>
        </w:rPr>
        <w:t>4. Дальнейшее развитие законодательства.</w:t>
      </w:r>
    </w:p>
    <w:p w:rsidR="007E68D9" w:rsidRPr="007E68D9" w:rsidRDefault="007E68D9" w:rsidP="007E68D9">
      <w:pPr>
        <w:spacing w:before="100" w:beforeAutospacing="1" w:after="100" w:afterAutospacing="1"/>
        <w:jc w:val="left"/>
        <w:rPr>
          <w:rFonts w:ascii="Times New Roman" w:eastAsia="Times New Roman" w:hAnsi="Times New Roman" w:cs="Times New Roman"/>
          <w:sz w:val="24"/>
          <w:szCs w:val="24"/>
          <w:lang w:eastAsia="ru-RU"/>
        </w:rPr>
      </w:pPr>
      <w:r w:rsidRPr="007E68D9">
        <w:rPr>
          <w:rFonts w:ascii="Times New Roman" w:eastAsia="Times New Roman" w:hAnsi="Times New Roman" w:cs="Times New Roman"/>
          <w:sz w:val="24"/>
          <w:szCs w:val="24"/>
          <w:lang w:eastAsia="ru-RU"/>
        </w:rPr>
        <w:lastRenderedPageBreak/>
        <w:t>После 2006 года развитие законодательства должно быть направлено на дальнейшую систематизацию регулирования отношений в сфере ИКТ, повышение ответственности органов государственной власти при обеспечении оперативности и достоверности информационного обмена, создание специальных законов применительно к отдельным отраслям хозяйственной деятельности, требующим особого режима использования ИКТ, стимулирование развитие процессов саморегулирования.</w:t>
      </w:r>
    </w:p>
    <w:p w:rsidR="003E5126" w:rsidRDefault="007E68D9"/>
    <w:sectPr w:rsidR="003E5126" w:rsidSect="007667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E2EAF"/>
    <w:multiLevelType w:val="multilevel"/>
    <w:tmpl w:val="69E03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A20ACF"/>
    <w:multiLevelType w:val="multilevel"/>
    <w:tmpl w:val="CBBEE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B709B1"/>
    <w:multiLevelType w:val="multilevel"/>
    <w:tmpl w:val="EF064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875C50"/>
    <w:multiLevelType w:val="multilevel"/>
    <w:tmpl w:val="74FA2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392E28"/>
    <w:multiLevelType w:val="multilevel"/>
    <w:tmpl w:val="FC2E3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8402BA"/>
    <w:multiLevelType w:val="multilevel"/>
    <w:tmpl w:val="ACA00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6ED6755"/>
    <w:multiLevelType w:val="multilevel"/>
    <w:tmpl w:val="0344A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891D79"/>
    <w:multiLevelType w:val="multilevel"/>
    <w:tmpl w:val="A81A6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F9D2B81"/>
    <w:multiLevelType w:val="multilevel"/>
    <w:tmpl w:val="62BAE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C0F2224"/>
    <w:multiLevelType w:val="multilevel"/>
    <w:tmpl w:val="F3B4C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C5517E5"/>
    <w:multiLevelType w:val="multilevel"/>
    <w:tmpl w:val="ACD28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12354F"/>
    <w:multiLevelType w:val="multilevel"/>
    <w:tmpl w:val="BBF08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217E6C"/>
    <w:multiLevelType w:val="multilevel"/>
    <w:tmpl w:val="52C00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
  </w:num>
  <w:num w:numId="3">
    <w:abstractNumId w:val="6"/>
  </w:num>
  <w:num w:numId="4">
    <w:abstractNumId w:val="0"/>
  </w:num>
  <w:num w:numId="5">
    <w:abstractNumId w:val="9"/>
  </w:num>
  <w:num w:numId="6">
    <w:abstractNumId w:val="5"/>
  </w:num>
  <w:num w:numId="7">
    <w:abstractNumId w:val="7"/>
  </w:num>
  <w:num w:numId="8">
    <w:abstractNumId w:val="8"/>
  </w:num>
  <w:num w:numId="9">
    <w:abstractNumId w:val="11"/>
  </w:num>
  <w:num w:numId="10">
    <w:abstractNumId w:val="1"/>
  </w:num>
  <w:num w:numId="11">
    <w:abstractNumId w:val="3"/>
  </w:num>
  <w:num w:numId="12">
    <w:abstractNumId w:val="10"/>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compat/>
  <w:rsids>
    <w:rsidRoot w:val="007E68D9"/>
    <w:rsid w:val="00052201"/>
    <w:rsid w:val="0009414C"/>
    <w:rsid w:val="000D3A2A"/>
    <w:rsid w:val="00294822"/>
    <w:rsid w:val="0042486D"/>
    <w:rsid w:val="00476327"/>
    <w:rsid w:val="00555591"/>
    <w:rsid w:val="0060208C"/>
    <w:rsid w:val="007667B2"/>
    <w:rsid w:val="007E68D9"/>
    <w:rsid w:val="008F6DCA"/>
    <w:rsid w:val="009812B6"/>
    <w:rsid w:val="00CE7E04"/>
    <w:rsid w:val="00F27F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7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E68D9"/>
    <w:pPr>
      <w:spacing w:before="100" w:beforeAutospacing="1" w:after="100" w:afterAutospacing="1"/>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5108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15270</Words>
  <Characters>87043</Characters>
  <Application>Microsoft Office Word</Application>
  <DocSecurity>0</DocSecurity>
  <Lines>725</Lines>
  <Paragraphs>204</Paragraphs>
  <ScaleCrop>false</ScaleCrop>
  <Company/>
  <LinksUpToDate>false</LinksUpToDate>
  <CharactersWithSpaces>102109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delya</dc:creator>
  <cp:keywords/>
  <dc:description/>
  <cp:lastModifiedBy>delya</cp:lastModifiedBy>
  <cp:revision>1</cp:revision>
  <dcterms:created xsi:type="dcterms:W3CDTF">2010-04-22T15:19:00Z</dcterms:created>
  <dcterms:modified xsi:type="dcterms:W3CDTF">2010-04-22T15:19:00Z</dcterms:modified>
</cp:coreProperties>
</file>